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DF0" w:rsidRPr="00C75805" w:rsidRDefault="00DF7DF0" w:rsidP="00DF7DF0">
      <w:pPr>
        <w:wordWrap/>
        <w:spacing w:line="320" w:lineRule="exact"/>
        <w:rPr>
          <w:rFonts w:ascii="Arial" w:hAnsi="Arial" w:cs="Arial"/>
          <w:b/>
          <w:snapToGrid w:val="0"/>
          <w:sz w:val="24"/>
        </w:rPr>
      </w:pPr>
      <w:bookmarkStart w:id="0" w:name="OLE_LINK1"/>
      <w:bookmarkStart w:id="1" w:name="OLE_LINK2"/>
      <w:r w:rsidRPr="00C75805">
        <w:rPr>
          <w:rFonts w:ascii="Arial" w:hAnsi="Arial" w:cs="Arial"/>
          <w:b/>
          <w:snapToGrid w:val="0"/>
          <w:sz w:val="24"/>
        </w:rPr>
        <w:t>3GPP TSG RAN WG1 Meeting #86</w:t>
      </w:r>
      <w:r w:rsidRPr="00C75805">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t xml:space="preserve"> </w:t>
      </w:r>
      <w:r w:rsidRPr="00C75805">
        <w:rPr>
          <w:rFonts w:ascii="Arial" w:hAnsi="Arial" w:cs="Arial"/>
          <w:b/>
          <w:snapToGrid w:val="0"/>
          <w:sz w:val="24"/>
        </w:rPr>
        <w:t>R1-16</w:t>
      </w:r>
      <w:r>
        <w:rPr>
          <w:rFonts w:ascii="Arial" w:hAnsi="Arial" w:cs="Arial"/>
          <w:b/>
          <w:snapToGrid w:val="0"/>
          <w:sz w:val="24"/>
        </w:rPr>
        <w:t>6837</w:t>
      </w:r>
    </w:p>
    <w:p w:rsidR="00DF7DF0" w:rsidRPr="00C75805" w:rsidRDefault="00DF7DF0" w:rsidP="00DF7DF0">
      <w:pPr>
        <w:wordWrap/>
        <w:spacing w:line="320" w:lineRule="exact"/>
        <w:rPr>
          <w:rFonts w:ascii="Arial" w:hAnsi="Arial" w:cs="Arial"/>
          <w:b/>
          <w:snapToGrid w:val="0"/>
          <w:sz w:val="24"/>
        </w:rPr>
      </w:pPr>
      <w:r w:rsidRPr="00C75805">
        <w:rPr>
          <w:rFonts w:ascii="Arial" w:hAnsi="Arial" w:cs="Arial"/>
          <w:b/>
          <w:snapToGrid w:val="0"/>
          <w:sz w:val="24"/>
        </w:rPr>
        <w:t>Gothenburg, Sweden, 22</w:t>
      </w:r>
      <w:r w:rsidRPr="00C75805">
        <w:rPr>
          <w:rFonts w:ascii="Arial" w:hAnsi="Arial" w:cs="Arial" w:hint="eastAsia"/>
          <w:b/>
          <w:snapToGrid w:val="0"/>
          <w:sz w:val="24"/>
          <w:vertAlign w:val="superscript"/>
        </w:rPr>
        <w:t>nd</w:t>
      </w:r>
      <w:r w:rsidRPr="00C75805">
        <w:rPr>
          <w:rFonts w:ascii="Arial" w:hAnsi="Arial" w:cs="Arial"/>
          <w:b/>
          <w:snapToGrid w:val="0"/>
          <w:sz w:val="24"/>
        </w:rPr>
        <w:t xml:space="preserve"> </w:t>
      </w:r>
      <w:r>
        <w:rPr>
          <w:rFonts w:ascii="Arial" w:hAnsi="Arial" w:cs="Arial"/>
          <w:b/>
          <w:snapToGrid w:val="0"/>
          <w:sz w:val="24"/>
        </w:rPr>
        <w:t>-</w:t>
      </w:r>
      <w:r w:rsidRPr="00C75805">
        <w:rPr>
          <w:rFonts w:ascii="Arial" w:hAnsi="Arial" w:cs="Arial"/>
          <w:b/>
          <w:snapToGrid w:val="0"/>
          <w:sz w:val="24"/>
        </w:rPr>
        <w:t xml:space="preserve"> 26</w:t>
      </w:r>
      <w:r w:rsidRPr="00C75805">
        <w:rPr>
          <w:rFonts w:ascii="Arial" w:hAnsi="Arial" w:cs="Arial"/>
          <w:b/>
          <w:snapToGrid w:val="0"/>
          <w:sz w:val="24"/>
          <w:vertAlign w:val="superscript"/>
        </w:rPr>
        <w:t>th</w:t>
      </w:r>
      <w:r w:rsidRPr="00C75805">
        <w:rPr>
          <w:rFonts w:ascii="Arial" w:hAnsi="Arial" w:cs="Arial"/>
          <w:b/>
          <w:snapToGrid w:val="0"/>
          <w:sz w:val="24"/>
        </w:rPr>
        <w:t xml:space="preserve"> August 2016</w:t>
      </w:r>
    </w:p>
    <w:p w:rsidR="00DF7DF0" w:rsidRPr="00773C67" w:rsidRDefault="00DF7DF0" w:rsidP="00DF7DF0">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______________________________________________________________________Agenda item:</w:t>
      </w:r>
      <w:r w:rsidRPr="00773C67">
        <w:rPr>
          <w:rFonts w:ascii="Arial" w:hAnsi="Arial" w:cs="Arial"/>
          <w:snapToGrid w:val="0"/>
          <w:sz w:val="24"/>
        </w:rPr>
        <w:t xml:space="preserve"> </w:t>
      </w:r>
      <w:r>
        <w:rPr>
          <w:rFonts w:ascii="Arial" w:hAnsi="Arial" w:cs="Arial"/>
          <w:snapToGrid w:val="0"/>
          <w:sz w:val="24"/>
        </w:rPr>
        <w:t>7.</w:t>
      </w:r>
      <w:r>
        <w:rPr>
          <w:rFonts w:ascii="Arial" w:hAnsi="Arial" w:cs="Arial" w:hint="eastAsia"/>
          <w:snapToGrid w:val="0"/>
          <w:sz w:val="24"/>
        </w:rPr>
        <w:t>2</w:t>
      </w:r>
      <w:r>
        <w:rPr>
          <w:rFonts w:ascii="Arial" w:hAnsi="Arial" w:cs="Arial"/>
          <w:snapToGrid w:val="0"/>
          <w:sz w:val="24"/>
        </w:rPr>
        <w:t>.3.1</w:t>
      </w:r>
    </w:p>
    <w:p w:rsidR="00DF7DF0" w:rsidRPr="00773C67" w:rsidRDefault="00DF7DF0" w:rsidP="00DF7DF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rsidR="00DF7DF0" w:rsidRPr="00773C67" w:rsidRDefault="00DF7DF0" w:rsidP="00DF7DF0">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Pr>
          <w:rFonts w:ascii="Arial" w:hAnsi="Arial" w:cs="Arial"/>
          <w:snapToGrid w:val="0"/>
          <w:sz w:val="24"/>
        </w:rPr>
        <w:t>Discussion on</w:t>
      </w:r>
      <w:r w:rsidRPr="007F0814">
        <w:rPr>
          <w:rFonts w:ascii="Arial" w:hAnsi="Arial" w:cs="Arial"/>
          <w:snapToGrid w:val="0"/>
          <w:sz w:val="24"/>
        </w:rPr>
        <w:t xml:space="preserve"> details of (E)PDCCH </w:t>
      </w:r>
      <w:r>
        <w:rPr>
          <w:rFonts w:ascii="Arial" w:hAnsi="Arial" w:cs="Arial"/>
          <w:snapToGrid w:val="0"/>
          <w:sz w:val="24"/>
        </w:rPr>
        <w:t>design for up</w:t>
      </w:r>
      <w:r w:rsidRPr="007F0814">
        <w:rPr>
          <w:rFonts w:ascii="Arial" w:hAnsi="Arial" w:cs="Arial"/>
          <w:snapToGrid w:val="0"/>
          <w:sz w:val="24"/>
        </w:rPr>
        <w:t xml:space="preserve">link </w:t>
      </w:r>
      <w:r>
        <w:rPr>
          <w:rFonts w:ascii="Arial" w:hAnsi="Arial" w:cs="Arial"/>
          <w:snapToGrid w:val="0"/>
          <w:sz w:val="24"/>
        </w:rPr>
        <w:t>SPS</w:t>
      </w:r>
    </w:p>
    <w:p w:rsidR="00DF7DF0" w:rsidRPr="00773C67" w:rsidRDefault="00DF7DF0" w:rsidP="00DF7DF0">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Pr>
          <w:rFonts w:ascii="Arial" w:hAnsi="Arial" w:cs="Arial" w:hint="eastAsia"/>
          <w:snapToGrid w:val="0"/>
          <w:sz w:val="24"/>
        </w:rPr>
        <w:t>e</w:t>
      </w:r>
      <w:r w:rsidRPr="00773C67">
        <w:rPr>
          <w:rFonts w:ascii="Arial" w:hAnsi="Arial" w:cs="Arial"/>
          <w:snapToGrid w:val="0"/>
          <w:sz w:val="24"/>
        </w:rPr>
        <w:t>c</w:t>
      </w:r>
      <w:r>
        <w:rPr>
          <w:rFonts w:ascii="Arial" w:hAnsi="Arial" w:cs="Arial" w:hint="eastAsia"/>
          <w:snapToGrid w:val="0"/>
          <w:sz w:val="24"/>
        </w:rPr>
        <w:t>i</w:t>
      </w:r>
      <w:r w:rsidRPr="00773C67">
        <w:rPr>
          <w:rFonts w:ascii="Arial" w:hAnsi="Arial" w:cs="Arial"/>
          <w:snapToGrid w:val="0"/>
          <w:sz w:val="24"/>
        </w:rPr>
        <w:t>sion</w:t>
      </w:r>
    </w:p>
    <w:bookmarkEnd w:id="0"/>
    <w:bookmarkEnd w:id="1"/>
    <w:p w:rsidR="00DF7DF0" w:rsidRPr="00773C67" w:rsidRDefault="00DF7DF0" w:rsidP="00DF7DF0">
      <w:pPr>
        <w:pStyle w:val="LGTdoc1"/>
        <w:numPr>
          <w:ilvl w:val="0"/>
          <w:numId w:val="3"/>
        </w:numPr>
        <w:spacing w:beforeLines="0" w:before="100" w:beforeAutospacing="1"/>
        <w:rPr>
          <w:lang w:val="en-US"/>
        </w:rPr>
      </w:pPr>
      <w:r w:rsidRPr="00773C67">
        <w:rPr>
          <w:lang w:val="en-US"/>
        </w:rPr>
        <w:t>Introduction</w:t>
      </w:r>
    </w:p>
    <w:p w:rsidR="007F0814" w:rsidRPr="00026DB9" w:rsidRDefault="00BA52F8" w:rsidP="007F0814">
      <w:pPr>
        <w:pStyle w:val="LGTdoc0"/>
        <w:spacing w:before="100" w:beforeAutospacing="1" w:afterLines="0" w:after="100" w:afterAutospacing="1" w:line="240" w:lineRule="auto"/>
        <w:ind w:firstLine="360"/>
        <w:rPr>
          <w:szCs w:val="22"/>
          <w:lang w:val="en-US"/>
        </w:rPr>
      </w:pPr>
      <w:r>
        <w:rPr>
          <w:rFonts w:hint="eastAsia"/>
          <w:szCs w:val="22"/>
          <w:lang w:val="en-US"/>
        </w:rPr>
        <w:t xml:space="preserve">UL SPS was </w:t>
      </w:r>
      <w:r>
        <w:rPr>
          <w:szCs w:val="22"/>
          <w:lang w:val="en-US"/>
        </w:rPr>
        <w:t>discussed</w:t>
      </w:r>
      <w:r>
        <w:rPr>
          <w:rFonts w:hint="eastAsia"/>
          <w:szCs w:val="22"/>
          <w:lang w:val="en-US"/>
        </w:rPr>
        <w:t xml:space="preserve"> in RAN#84bis as possible enhancement for Uu-based V2X. It was also discussed that this discussion is related with the SL SPS design in SL-based V2V WI on which the following agreements were made</w:t>
      </w:r>
      <w:r w:rsidR="008423F3">
        <w:rPr>
          <w:szCs w:val="22"/>
          <w:lang w:val="en-US"/>
        </w:rPr>
        <w:t xml:space="preserve"> [1]</w:t>
      </w:r>
      <w:r>
        <w:rPr>
          <w:rFonts w:hint="eastAsia"/>
          <w:szCs w:val="22"/>
          <w:lang w:val="en-US"/>
        </w:rPr>
        <w:t>:</w:t>
      </w:r>
      <w:r w:rsidR="007F0814">
        <w:rPr>
          <w:rFonts w:hint="eastAsia"/>
          <w:szCs w:val="22"/>
          <w:lang w:val="en-US"/>
        </w:rPr>
        <w:t xml:space="preserve"> </w:t>
      </w:r>
    </w:p>
    <w:p w:rsidR="007F0814" w:rsidRPr="007F0814" w:rsidRDefault="007F0814" w:rsidP="007F0814">
      <w:pPr>
        <w:rPr>
          <w:rFonts w:ascii="Times New Roman" w:eastAsia="MS Mincho"/>
          <w:szCs w:val="20"/>
          <w:lang w:eastAsia="ja-JP"/>
        </w:rPr>
      </w:pPr>
      <w:r w:rsidRPr="007F0814">
        <w:rPr>
          <w:rFonts w:ascii="Times New Roman" w:eastAsia="MS Mincho"/>
          <w:szCs w:val="20"/>
          <w:highlight w:val="green"/>
          <w:lang w:eastAsia="ja-JP"/>
        </w:rPr>
        <w:t>Agreement:</w:t>
      </w:r>
    </w:p>
    <w:p w:rsidR="007F0814" w:rsidRPr="007F0814" w:rsidRDefault="007F0814" w:rsidP="007F0814">
      <w:pPr>
        <w:widowControl/>
        <w:numPr>
          <w:ilvl w:val="0"/>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For SPS of V2V traffic for mode-1 SPS on PC5:</w:t>
      </w:r>
    </w:p>
    <w:p w:rsidR="007F0814" w:rsidRPr="007F0814" w:rsidRDefault="007F0814" w:rsidP="007F0814">
      <w:pPr>
        <w:widowControl/>
        <w:numPr>
          <w:ilvl w:val="1"/>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The eNB may configure multiple SPS configurations for a given UE</w:t>
      </w:r>
    </w:p>
    <w:p w:rsidR="007F0814" w:rsidRPr="007F0814" w:rsidRDefault="007F0814" w:rsidP="007F0814">
      <w:pPr>
        <w:widowControl/>
        <w:numPr>
          <w:ilvl w:val="2"/>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At least SPS-configuration-specific MCS (if MCS is part of the SPS-configuration) and SPS-configuration-specific periodicity can be configured</w:t>
      </w:r>
    </w:p>
    <w:p w:rsidR="007F0814" w:rsidRPr="007F0814" w:rsidRDefault="007F0814" w:rsidP="007F0814">
      <w:pPr>
        <w:widowControl/>
        <w:numPr>
          <w:ilvl w:val="3"/>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FFS if/which other SPS parameters can differ across the SPS-configurations</w:t>
      </w:r>
    </w:p>
    <w:p w:rsidR="007F0814" w:rsidRPr="007F0814" w:rsidRDefault="007F0814" w:rsidP="007F0814">
      <w:pPr>
        <w:widowControl/>
        <w:numPr>
          <w:ilvl w:val="2"/>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The eNB can dynamically trigger/release the different SPS-configurations by use of (E)PDCCH</w:t>
      </w:r>
    </w:p>
    <w:p w:rsidR="007F0814" w:rsidRPr="007F0814" w:rsidRDefault="007F0814" w:rsidP="007F0814">
      <w:pPr>
        <w:widowControl/>
        <w:numPr>
          <w:ilvl w:val="3"/>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Details of the trigger/release are FFS</w:t>
      </w:r>
    </w:p>
    <w:p w:rsidR="007F0814" w:rsidRPr="007F0814" w:rsidRDefault="007F0814" w:rsidP="007F0814">
      <w:pPr>
        <w:widowControl/>
        <w:numPr>
          <w:ilvl w:val="1"/>
          <w:numId w:val="29"/>
        </w:numPr>
        <w:wordWrap/>
        <w:autoSpaceDE/>
        <w:autoSpaceDN/>
        <w:jc w:val="left"/>
        <w:rPr>
          <w:rFonts w:ascii="Times New Roman" w:eastAsia="MS Mincho"/>
          <w:szCs w:val="20"/>
          <w:lang w:eastAsia="ja-JP"/>
        </w:rPr>
      </w:pPr>
      <w:r w:rsidRPr="007F0814">
        <w:rPr>
          <w:rFonts w:ascii="Times New Roman" w:eastAsia="MS Mincho"/>
          <w:szCs w:val="20"/>
          <w:highlight w:val="darkYellow"/>
          <w:lang w:eastAsia="ja-JP"/>
        </w:rPr>
        <w:t>Working assumption</w:t>
      </w:r>
      <w:r w:rsidRPr="007F0814">
        <w:rPr>
          <w:rFonts w:ascii="Times New Roman" w:eastAsia="MS Mincho"/>
          <w:szCs w:val="20"/>
          <w:lang w:eastAsia="ja-JP"/>
        </w:rPr>
        <w:t>: The UE can indicate to the eNB that it does not intend to transmit data before a transmission associated to an SPS configuration</w:t>
      </w:r>
    </w:p>
    <w:p w:rsidR="007F0814" w:rsidRPr="007F0814" w:rsidRDefault="007F0814" w:rsidP="007F0814">
      <w:pPr>
        <w:widowControl/>
        <w:numPr>
          <w:ilvl w:val="2"/>
          <w:numId w:val="29"/>
        </w:numPr>
        <w:wordWrap/>
        <w:autoSpaceDE/>
        <w:autoSpaceDN/>
        <w:spacing w:before="100" w:beforeAutospacing="1" w:after="100" w:afterAutospacing="1"/>
        <w:jc w:val="left"/>
        <w:rPr>
          <w:rFonts w:ascii="Times New Roman"/>
          <w:szCs w:val="22"/>
        </w:rPr>
      </w:pPr>
      <w:r w:rsidRPr="007F0814">
        <w:rPr>
          <w:rFonts w:ascii="Times New Roman" w:eastAsia="MS Mincho"/>
          <w:szCs w:val="20"/>
          <w:lang w:eastAsia="ja-JP"/>
        </w:rPr>
        <w:t>FFS any details of the signaling protocol</w:t>
      </w:r>
    </w:p>
    <w:p w:rsidR="00401870" w:rsidRPr="007F0814" w:rsidRDefault="007F0814" w:rsidP="007F0814">
      <w:pPr>
        <w:widowControl/>
        <w:numPr>
          <w:ilvl w:val="2"/>
          <w:numId w:val="29"/>
        </w:numPr>
        <w:wordWrap/>
        <w:autoSpaceDE/>
        <w:autoSpaceDN/>
        <w:spacing w:before="100" w:beforeAutospacing="1" w:after="100" w:afterAutospacing="1"/>
        <w:jc w:val="left"/>
        <w:rPr>
          <w:szCs w:val="22"/>
        </w:rPr>
      </w:pPr>
      <w:r w:rsidRPr="007F0814">
        <w:rPr>
          <w:rFonts w:ascii="Times New Roman" w:eastAsia="MS Mincho"/>
          <w:szCs w:val="20"/>
          <w:lang w:eastAsia="ja-JP"/>
        </w:rPr>
        <w:t>FFS whether eNB acknowledgment of the UE indication is needed</w:t>
      </w:r>
    </w:p>
    <w:p w:rsidR="007F0814" w:rsidRDefault="007F0814" w:rsidP="00BA52F8">
      <w:pPr>
        <w:pStyle w:val="LGTdoc0"/>
        <w:spacing w:before="100" w:beforeAutospacing="1" w:afterLines="0" w:after="100" w:afterAutospacing="1" w:line="240" w:lineRule="auto"/>
        <w:ind w:firstLine="360"/>
        <w:rPr>
          <w:szCs w:val="22"/>
        </w:rPr>
      </w:pPr>
      <w:r>
        <w:rPr>
          <w:rFonts w:hint="eastAsia"/>
          <w:szCs w:val="22"/>
          <w:lang w:val="en-US"/>
        </w:rPr>
        <w:t xml:space="preserve">This contribution discusses on the </w:t>
      </w:r>
      <w:r w:rsidR="00BA52F8">
        <w:rPr>
          <w:szCs w:val="22"/>
          <w:lang w:val="en-US"/>
        </w:rPr>
        <w:t>details of (E)PDCCH design for uplink</w:t>
      </w:r>
      <w:r w:rsidR="000A5369">
        <w:rPr>
          <w:rFonts w:hint="eastAsia"/>
          <w:szCs w:val="22"/>
          <w:lang w:val="en-US"/>
        </w:rPr>
        <w:t xml:space="preserve"> </w:t>
      </w:r>
      <w:r w:rsidR="00BA52F8">
        <w:rPr>
          <w:szCs w:val="22"/>
          <w:lang w:val="en-US"/>
        </w:rPr>
        <w:t>SPS</w:t>
      </w:r>
      <w:r w:rsidR="000A5369">
        <w:rPr>
          <w:rFonts w:hint="eastAsia"/>
          <w:szCs w:val="22"/>
          <w:lang w:val="en-US"/>
        </w:rPr>
        <w:t xml:space="preserve">, </w:t>
      </w:r>
      <w:r w:rsidR="00BA52F8">
        <w:rPr>
          <w:szCs w:val="22"/>
          <w:lang w:val="en-US"/>
        </w:rPr>
        <w:t>while maintaining the commonality with the sidelink</w:t>
      </w:r>
      <w:r w:rsidR="000A5369">
        <w:rPr>
          <w:rFonts w:hint="eastAsia"/>
          <w:szCs w:val="22"/>
          <w:lang w:val="en-US"/>
        </w:rPr>
        <w:t xml:space="preserve"> SPS </w:t>
      </w:r>
      <w:r w:rsidR="00BA52F8">
        <w:rPr>
          <w:szCs w:val="22"/>
          <w:lang w:val="en-US"/>
        </w:rPr>
        <w:t>(E)PDCCH a</w:t>
      </w:r>
      <w:r w:rsidR="00BA52F8">
        <w:rPr>
          <w:rFonts w:hint="eastAsia"/>
          <w:szCs w:val="22"/>
          <w:lang w:val="en-US"/>
        </w:rPr>
        <w:t xml:space="preserve">s </w:t>
      </w:r>
      <w:r w:rsidR="00BA52F8">
        <w:rPr>
          <w:szCs w:val="22"/>
          <w:lang w:val="en-US"/>
        </w:rPr>
        <w:t>mentioned in the companion contribution [</w:t>
      </w:r>
      <w:r w:rsidR="008423F3">
        <w:rPr>
          <w:szCs w:val="22"/>
          <w:lang w:val="en-US"/>
        </w:rPr>
        <w:t>2</w:t>
      </w:r>
      <w:r w:rsidR="00BA52F8">
        <w:rPr>
          <w:szCs w:val="22"/>
          <w:lang w:val="en-US"/>
        </w:rPr>
        <w:t>] that the uplink SPS design for V2X is based on the outcome on sidelink SPS in sidelink-based V2V  WI</w:t>
      </w:r>
    </w:p>
    <w:p w:rsidR="00F71A1A" w:rsidRPr="007F0814" w:rsidRDefault="00F71A1A" w:rsidP="007F0814">
      <w:pPr>
        <w:widowControl/>
        <w:wordWrap/>
        <w:autoSpaceDE/>
        <w:autoSpaceDN/>
        <w:spacing w:before="100" w:beforeAutospacing="1" w:after="100" w:afterAutospacing="1"/>
        <w:jc w:val="left"/>
        <w:rPr>
          <w:szCs w:val="22"/>
        </w:rPr>
      </w:pPr>
    </w:p>
    <w:p w:rsidR="00933FC4" w:rsidRPr="00A55085" w:rsidRDefault="00933FC4" w:rsidP="00933FC4">
      <w:pPr>
        <w:pStyle w:val="LGTdoc1"/>
        <w:numPr>
          <w:ilvl w:val="0"/>
          <w:numId w:val="3"/>
        </w:numPr>
        <w:spacing w:beforeLines="0" w:after="0" w:afterAutospacing="0"/>
        <w:rPr>
          <w:lang w:val="en-US"/>
        </w:rPr>
      </w:pPr>
      <w:r>
        <w:rPr>
          <w:rFonts w:hint="eastAsia"/>
          <w:lang w:val="en-US"/>
        </w:rPr>
        <w:t>Discussion</w:t>
      </w:r>
    </w:p>
    <w:p w:rsidR="00010474" w:rsidRDefault="00010474" w:rsidP="00933FC4">
      <w:pPr>
        <w:pStyle w:val="LGTdoc0"/>
        <w:numPr>
          <w:ilvl w:val="1"/>
          <w:numId w:val="3"/>
        </w:numPr>
        <w:spacing w:before="100" w:beforeAutospacing="1" w:afterLines="0" w:after="100" w:afterAutospacing="1" w:line="240" w:lineRule="auto"/>
        <w:rPr>
          <w:szCs w:val="22"/>
          <w:lang w:val="en-US"/>
        </w:rPr>
      </w:pPr>
      <w:r>
        <w:rPr>
          <w:szCs w:val="22"/>
          <w:lang w:val="en-US"/>
        </w:rPr>
        <w:t xml:space="preserve">(E)PDCCH design for </w:t>
      </w:r>
      <w:r w:rsidR="008423F3">
        <w:rPr>
          <w:szCs w:val="22"/>
          <w:lang w:val="en-US"/>
        </w:rPr>
        <w:t>uplink</w:t>
      </w:r>
      <w:r>
        <w:rPr>
          <w:rFonts w:hint="eastAsia"/>
          <w:szCs w:val="22"/>
          <w:lang w:val="en-US"/>
        </w:rPr>
        <w:t xml:space="preserve"> SPS </w:t>
      </w:r>
    </w:p>
    <w:p w:rsidR="00630812" w:rsidRDefault="00630812" w:rsidP="00630812">
      <w:pPr>
        <w:pStyle w:val="LGTdoc0"/>
        <w:spacing w:before="100" w:beforeAutospacing="1" w:afterLines="0" w:after="100" w:afterAutospacing="1" w:line="240" w:lineRule="auto"/>
        <w:ind w:firstLine="425"/>
        <w:rPr>
          <w:szCs w:val="22"/>
          <w:lang w:val="en-US"/>
        </w:rPr>
      </w:pPr>
      <w:r>
        <w:rPr>
          <w:rFonts w:hint="eastAsia"/>
          <w:szCs w:val="22"/>
          <w:lang w:val="en-US"/>
        </w:rPr>
        <w:t xml:space="preserve">UL SPS and SL SPS share lots of commonality in that both target the same or similar V2X message transmissions and resource is granted from the eNB. Thus, it is </w:t>
      </w:r>
      <w:r>
        <w:rPr>
          <w:szCs w:val="22"/>
          <w:lang w:val="en-US"/>
        </w:rPr>
        <w:t>desirable</w:t>
      </w:r>
      <w:r>
        <w:rPr>
          <w:rFonts w:hint="eastAsia"/>
          <w:szCs w:val="22"/>
          <w:lang w:val="en-US"/>
        </w:rPr>
        <w:t xml:space="preserve"> to make them as common as possible. As SL SPS discussion is in the WI phase, it would be reasonable to first wait for the progress on the SL SPS design. Then, modifications for UL operation can be discussed.</w:t>
      </w:r>
    </w:p>
    <w:p w:rsidR="00667801" w:rsidRPr="00F65C2B" w:rsidRDefault="00630812" w:rsidP="00630812">
      <w:pPr>
        <w:pStyle w:val="LGTdoc0"/>
        <w:spacing w:before="100" w:beforeAutospacing="1" w:afterLines="0" w:after="100" w:afterAutospacing="1" w:line="240" w:lineRule="auto"/>
        <w:ind w:firstLine="425"/>
        <w:rPr>
          <w:szCs w:val="22"/>
          <w:lang w:val="en-US"/>
        </w:rPr>
      </w:pPr>
      <w:r>
        <w:rPr>
          <w:szCs w:val="22"/>
          <w:lang w:val="en-US"/>
        </w:rPr>
        <w:t>For UL SPS (E)PDCCH design, the DCI for UL grant (e.g. DCI format 0) can be a baseline. C</w:t>
      </w:r>
      <w:r>
        <w:rPr>
          <w:rFonts w:hint="eastAsia"/>
          <w:szCs w:val="22"/>
          <w:lang w:val="en-US"/>
        </w:rPr>
        <w:t xml:space="preserve">onsidering </w:t>
      </w:r>
      <w:r>
        <w:rPr>
          <w:szCs w:val="22"/>
          <w:lang w:val="en-US"/>
        </w:rPr>
        <w:t>the properties of SPS, the UL SPS (E)PDCCH should distinguish SPS trigger / release and should support multiple SPS configuration. T</w:t>
      </w:r>
      <w:r>
        <w:rPr>
          <w:lang w:val="en-US"/>
        </w:rPr>
        <w:t xml:space="preserve">hus, </w:t>
      </w:r>
      <w:r>
        <w:t>it may be needed to modify some of the existing fields of a DCI format in order to introduce a new field (e.g. SPS configuration index) w</w:t>
      </w:r>
      <w:r>
        <w:rPr>
          <w:rFonts w:hint="eastAsia"/>
        </w:rPr>
        <w:t xml:space="preserve">hile </w:t>
      </w:r>
      <w:r>
        <w:t>reusing the existing DCI format (e.g. DCI format 0).</w:t>
      </w:r>
      <w:r w:rsidR="00F65C2B">
        <w:t xml:space="preserve"> </w:t>
      </w:r>
      <w:r>
        <w:rPr>
          <w:szCs w:val="22"/>
          <w:lang w:val="en-US"/>
        </w:rPr>
        <w:t>T</w:t>
      </w:r>
      <w:r>
        <w:rPr>
          <w:rFonts w:hint="eastAsia"/>
          <w:szCs w:val="22"/>
          <w:lang w:val="en-US"/>
        </w:rPr>
        <w:t>he SPS configuration field can be expressed as a</w:t>
      </w:r>
      <w:r>
        <w:rPr>
          <w:szCs w:val="22"/>
          <w:lang w:val="en-US"/>
        </w:rPr>
        <w:t>n</w:t>
      </w:r>
      <w:r>
        <w:rPr>
          <w:rFonts w:hint="eastAsia"/>
          <w:szCs w:val="22"/>
          <w:lang w:val="en-US"/>
        </w:rPr>
        <w:t xml:space="preserve"> </w:t>
      </w:r>
      <w:r>
        <w:rPr>
          <w:szCs w:val="22"/>
          <w:lang w:val="en-US"/>
        </w:rPr>
        <w:t xml:space="preserve">index of the SPS configuration. For example, when there are </w:t>
      </w:r>
      <w:r w:rsidR="00667801">
        <w:rPr>
          <w:szCs w:val="22"/>
          <w:lang w:val="en-US"/>
        </w:rPr>
        <w:t>7</w:t>
      </w:r>
      <w:r>
        <w:rPr>
          <w:szCs w:val="22"/>
          <w:lang w:val="en-US"/>
        </w:rPr>
        <w:t xml:space="preserve"> configurations, the size of the SPS configuration field can be 3 bits</w:t>
      </w:r>
      <w:r w:rsidR="00667801">
        <w:rPr>
          <w:szCs w:val="22"/>
          <w:lang w:val="en-US"/>
        </w:rPr>
        <w:t xml:space="preserve">. Observing the existing LTE UL SPS, </w:t>
      </w:r>
      <w:r w:rsidR="00F65C2B">
        <w:rPr>
          <w:szCs w:val="22"/>
          <w:lang w:val="en-US"/>
        </w:rPr>
        <w:t xml:space="preserve">the 3 bit </w:t>
      </w:r>
      <w:r w:rsidR="00667801">
        <w:rPr>
          <w:szCs w:val="22"/>
          <w:lang w:val="en-US"/>
        </w:rPr>
        <w:t xml:space="preserve">cyclic shift DM RS field is set to ‘000’ for </w:t>
      </w:r>
      <w:r w:rsidR="00F65C2B">
        <w:rPr>
          <w:szCs w:val="22"/>
          <w:lang w:val="en-US"/>
        </w:rPr>
        <w:t xml:space="preserve">validation of </w:t>
      </w:r>
      <w:r w:rsidR="00667801">
        <w:rPr>
          <w:szCs w:val="22"/>
          <w:lang w:val="en-US"/>
        </w:rPr>
        <w:t>both SPS trigger / release.</w:t>
      </w:r>
      <w:r w:rsidR="00F65C2B">
        <w:rPr>
          <w:szCs w:val="22"/>
          <w:lang w:val="en-US"/>
        </w:rPr>
        <w:t xml:space="preserve"> For example, i</w:t>
      </w:r>
      <w:r w:rsidR="00F65C2B">
        <w:rPr>
          <w:rFonts w:hint="eastAsia"/>
          <w:szCs w:val="22"/>
          <w:lang w:val="en-US"/>
        </w:rPr>
        <w:t xml:space="preserve">f </w:t>
      </w:r>
      <w:r w:rsidR="00F65C2B">
        <w:rPr>
          <w:szCs w:val="22"/>
          <w:lang w:val="en-US"/>
        </w:rPr>
        <w:t>the cyclic shift DM RS field is utilized as SPS configuration index</w:t>
      </w:r>
      <w:r w:rsidR="00D8130D">
        <w:rPr>
          <w:szCs w:val="22"/>
          <w:lang w:val="en-US"/>
        </w:rPr>
        <w:t>, remaining</w:t>
      </w:r>
      <w:r w:rsidR="00F65C2B">
        <w:rPr>
          <w:szCs w:val="22"/>
          <w:lang w:val="en-US"/>
        </w:rPr>
        <w:t xml:space="preserve"> values except for ‘000’ can be matched to SPS configuration 0 ~ SPS configuration 7 as shown in Table 1. V</w:t>
      </w:r>
      <w:r w:rsidR="00F65C2B">
        <w:rPr>
          <w:rFonts w:hint="eastAsia"/>
          <w:szCs w:val="22"/>
          <w:lang w:val="en-US"/>
        </w:rPr>
        <w:t xml:space="preserve">alidation </w:t>
      </w:r>
      <w:r w:rsidR="00F65C2B">
        <w:rPr>
          <w:szCs w:val="22"/>
          <w:lang w:val="en-US"/>
        </w:rPr>
        <w:t>of V2X up</w:t>
      </w:r>
      <w:r w:rsidR="00F65C2B">
        <w:rPr>
          <w:rFonts w:hint="eastAsia"/>
          <w:szCs w:val="22"/>
          <w:lang w:val="en-US"/>
        </w:rPr>
        <w:t>link SPS trigger / release can be achieved</w:t>
      </w:r>
      <w:r w:rsidR="00F65C2B">
        <w:rPr>
          <w:szCs w:val="22"/>
          <w:lang w:val="en-US"/>
        </w:rPr>
        <w:t xml:space="preserve"> similar to LTE UL SPS except that the cyclic shift DM RS field is already reserved for V2X UL SPS configuration index.</w:t>
      </w:r>
    </w:p>
    <w:p w:rsidR="00F65C2B" w:rsidRPr="00F65C2B" w:rsidRDefault="00F65C2B" w:rsidP="00F65C2B">
      <w:pPr>
        <w:pStyle w:val="LGTdoc0"/>
        <w:spacing w:before="100" w:beforeAutospacing="1" w:afterLines="0" w:after="100" w:afterAutospacing="1" w:line="240" w:lineRule="auto"/>
        <w:ind w:firstLine="425"/>
        <w:jc w:val="center"/>
        <w:rPr>
          <w:szCs w:val="22"/>
          <w:lang w:val="en-US"/>
        </w:rPr>
      </w:pPr>
      <w:r w:rsidRPr="00F65C2B">
        <w:rPr>
          <w:rFonts w:hint="eastAsia"/>
          <w:szCs w:val="22"/>
          <w:lang w:val="en-US"/>
        </w:rPr>
        <w:lastRenderedPageBreak/>
        <w:t>Table 1.</w:t>
      </w:r>
      <w:r w:rsidRPr="00F65C2B">
        <w:rPr>
          <w:szCs w:val="22"/>
          <w:lang w:val="en-US"/>
        </w:rPr>
        <w:t xml:space="preserve"> Mapping of </w:t>
      </w:r>
      <w:r w:rsidRPr="00F65C2B">
        <w:t>Cyclic shift DM RS field with V2X UL SPS configuration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3552"/>
      </w:tblGrid>
      <w:tr w:rsidR="00667801" w:rsidRPr="00E9040D" w:rsidTr="00F65C2B">
        <w:trPr>
          <w:cantSplit/>
          <w:jc w:val="center"/>
        </w:trPr>
        <w:tc>
          <w:tcPr>
            <w:tcW w:w="2689" w:type="dxa"/>
            <w:tcBorders>
              <w:bottom w:val="single" w:sz="4" w:space="0" w:color="auto"/>
            </w:tcBorders>
            <w:shd w:val="clear" w:color="auto" w:fill="E0E0E0"/>
            <w:vAlign w:val="center"/>
          </w:tcPr>
          <w:p w:rsidR="00667801" w:rsidRPr="00667801" w:rsidRDefault="00667801" w:rsidP="00667801">
            <w:pPr>
              <w:pStyle w:val="TAH"/>
              <w:rPr>
                <w:rFonts w:eastAsiaTheme="minorEastAsia"/>
                <w:b w:val="0"/>
                <w:lang w:eastAsia="ko-KR"/>
              </w:rPr>
            </w:pPr>
            <w:r>
              <w:rPr>
                <w:rFonts w:eastAsiaTheme="minorEastAsia"/>
                <w:b w:val="0"/>
                <w:lang w:eastAsia="ko-KR"/>
              </w:rPr>
              <w:t>V</w:t>
            </w:r>
            <w:r>
              <w:rPr>
                <w:rFonts w:eastAsiaTheme="minorEastAsia" w:hint="eastAsia"/>
                <w:b w:val="0"/>
                <w:lang w:eastAsia="ko-KR"/>
              </w:rPr>
              <w:t>alue</w:t>
            </w:r>
            <w:r w:rsidR="00F65C2B">
              <w:rPr>
                <w:rFonts w:eastAsiaTheme="minorEastAsia"/>
                <w:b w:val="0"/>
                <w:lang w:eastAsia="ko-KR"/>
              </w:rPr>
              <w:t xml:space="preserve"> of </w:t>
            </w:r>
            <w:r w:rsidR="00F65C2B" w:rsidRPr="00667801">
              <w:rPr>
                <w:b w:val="0"/>
              </w:rPr>
              <w:t>Cyclic shift DM RS</w:t>
            </w:r>
            <w:r w:rsidR="00F65C2B" w:rsidRPr="00667801">
              <w:rPr>
                <w:rFonts w:hint="eastAsia"/>
                <w:b w:val="0"/>
              </w:rPr>
              <w:t xml:space="preserve"> </w:t>
            </w:r>
            <w:r w:rsidR="00F65C2B" w:rsidRPr="00667801">
              <w:rPr>
                <w:b w:val="0"/>
              </w:rPr>
              <w:t xml:space="preserve"> field</w:t>
            </w:r>
            <w:r w:rsidR="00F65C2B">
              <w:rPr>
                <w:b w:val="0"/>
              </w:rPr>
              <w:t xml:space="preserve"> in DCI format 0</w:t>
            </w:r>
          </w:p>
        </w:tc>
        <w:tc>
          <w:tcPr>
            <w:tcW w:w="3552" w:type="dxa"/>
            <w:tcBorders>
              <w:bottom w:val="single" w:sz="4" w:space="0" w:color="auto"/>
            </w:tcBorders>
            <w:shd w:val="clear" w:color="auto" w:fill="E0E0E0"/>
            <w:vAlign w:val="center"/>
          </w:tcPr>
          <w:p w:rsidR="00667801" w:rsidRPr="00667801" w:rsidRDefault="00F65C2B" w:rsidP="00667801">
            <w:pPr>
              <w:pStyle w:val="TAH"/>
              <w:rPr>
                <w:b w:val="0"/>
              </w:rPr>
            </w:pPr>
            <w:r>
              <w:rPr>
                <w:b w:val="0"/>
              </w:rPr>
              <w:t>Usage</w:t>
            </w:r>
          </w:p>
        </w:tc>
      </w:tr>
      <w:tr w:rsidR="00667801" w:rsidRPr="00E9040D" w:rsidTr="00F65C2B">
        <w:trPr>
          <w:cantSplit/>
          <w:jc w:val="center"/>
        </w:trPr>
        <w:tc>
          <w:tcPr>
            <w:tcW w:w="2689" w:type="dxa"/>
            <w:shd w:val="clear" w:color="auto" w:fill="auto"/>
            <w:vAlign w:val="center"/>
          </w:tcPr>
          <w:p w:rsidR="00667801" w:rsidRPr="00667801" w:rsidRDefault="00667801" w:rsidP="00667801">
            <w:pPr>
              <w:pStyle w:val="TAL"/>
              <w:jc w:val="center"/>
            </w:pPr>
            <w:r>
              <w:t>‘000’</w:t>
            </w:r>
          </w:p>
        </w:tc>
        <w:tc>
          <w:tcPr>
            <w:tcW w:w="3552" w:type="dxa"/>
            <w:shd w:val="clear" w:color="auto" w:fill="auto"/>
            <w:vAlign w:val="center"/>
          </w:tcPr>
          <w:p w:rsidR="00667801" w:rsidRPr="00667801" w:rsidRDefault="00667801" w:rsidP="00667801">
            <w:pPr>
              <w:pStyle w:val="TAC"/>
              <w:ind w:left="400" w:hanging="400"/>
            </w:pPr>
            <w:r>
              <w:t>Legacy LTE UL SPS</w:t>
            </w:r>
          </w:p>
        </w:tc>
      </w:tr>
      <w:tr w:rsidR="00667801" w:rsidRPr="00E9040D" w:rsidTr="00F65C2B">
        <w:trPr>
          <w:cantSplit/>
          <w:jc w:val="center"/>
        </w:trPr>
        <w:tc>
          <w:tcPr>
            <w:tcW w:w="2689" w:type="dxa"/>
            <w:shd w:val="clear" w:color="auto" w:fill="auto"/>
            <w:vAlign w:val="center"/>
          </w:tcPr>
          <w:p w:rsidR="00667801" w:rsidRPr="00667801" w:rsidRDefault="00667801" w:rsidP="00667801">
            <w:pPr>
              <w:pStyle w:val="TAL"/>
              <w:jc w:val="center"/>
            </w:pPr>
            <w:r>
              <w:t>‘001’</w:t>
            </w:r>
          </w:p>
        </w:tc>
        <w:tc>
          <w:tcPr>
            <w:tcW w:w="3552" w:type="dxa"/>
            <w:shd w:val="clear" w:color="auto" w:fill="auto"/>
            <w:vAlign w:val="center"/>
          </w:tcPr>
          <w:p w:rsidR="00667801" w:rsidRPr="00667801" w:rsidRDefault="00667801" w:rsidP="00667801">
            <w:pPr>
              <w:pStyle w:val="TAC"/>
              <w:ind w:left="400" w:hanging="400"/>
            </w:pPr>
            <w:r>
              <w:t>UL SPS configuration 0 for V2X</w:t>
            </w:r>
          </w:p>
        </w:tc>
      </w:tr>
      <w:tr w:rsidR="00667801" w:rsidRPr="00E9040D" w:rsidTr="00F65C2B">
        <w:trPr>
          <w:cantSplit/>
          <w:jc w:val="center"/>
        </w:trPr>
        <w:tc>
          <w:tcPr>
            <w:tcW w:w="2689" w:type="dxa"/>
            <w:shd w:val="clear" w:color="auto" w:fill="auto"/>
            <w:vAlign w:val="center"/>
          </w:tcPr>
          <w:p w:rsidR="00667801" w:rsidRPr="00667801" w:rsidRDefault="00667801" w:rsidP="00667801">
            <w:pPr>
              <w:pStyle w:val="TAL"/>
              <w:jc w:val="center"/>
            </w:pPr>
            <w:r>
              <w:t>‘010’</w:t>
            </w:r>
          </w:p>
        </w:tc>
        <w:tc>
          <w:tcPr>
            <w:tcW w:w="3552" w:type="dxa"/>
            <w:shd w:val="clear" w:color="auto" w:fill="auto"/>
            <w:vAlign w:val="center"/>
          </w:tcPr>
          <w:p w:rsidR="00667801" w:rsidRPr="00E9040D" w:rsidRDefault="00667801" w:rsidP="00667801">
            <w:pPr>
              <w:pStyle w:val="TAC"/>
              <w:ind w:left="400" w:hanging="400"/>
            </w:pPr>
            <w:r>
              <w:t>UL SPS configuration 1 for V2X</w:t>
            </w:r>
          </w:p>
        </w:tc>
      </w:tr>
      <w:tr w:rsidR="00667801" w:rsidRPr="00E9040D" w:rsidTr="00F65C2B">
        <w:trPr>
          <w:cantSplit/>
          <w:jc w:val="center"/>
        </w:trPr>
        <w:tc>
          <w:tcPr>
            <w:tcW w:w="2689" w:type="dxa"/>
            <w:shd w:val="clear" w:color="auto" w:fill="auto"/>
            <w:vAlign w:val="center"/>
          </w:tcPr>
          <w:p w:rsidR="00667801" w:rsidRPr="00667801" w:rsidRDefault="00667801" w:rsidP="00667801">
            <w:pPr>
              <w:pStyle w:val="TAL"/>
              <w:jc w:val="center"/>
            </w:pPr>
            <w:r>
              <w:t>‘011’</w:t>
            </w:r>
          </w:p>
        </w:tc>
        <w:tc>
          <w:tcPr>
            <w:tcW w:w="3552" w:type="dxa"/>
            <w:shd w:val="clear" w:color="auto" w:fill="auto"/>
            <w:vAlign w:val="center"/>
          </w:tcPr>
          <w:p w:rsidR="00667801" w:rsidRPr="00E9040D" w:rsidRDefault="00667801" w:rsidP="00F65C2B">
            <w:pPr>
              <w:pStyle w:val="TAC"/>
              <w:ind w:left="400" w:hanging="400"/>
            </w:pPr>
            <w:r>
              <w:t xml:space="preserve">UL SPS configuration </w:t>
            </w:r>
            <w:r w:rsidR="00F65C2B">
              <w:t>2</w:t>
            </w:r>
            <w:r>
              <w:t xml:space="preserve"> for V2X</w:t>
            </w:r>
          </w:p>
        </w:tc>
      </w:tr>
      <w:tr w:rsidR="00667801" w:rsidRPr="00E9040D" w:rsidTr="00F65C2B">
        <w:trPr>
          <w:cantSplit/>
          <w:jc w:val="center"/>
        </w:trPr>
        <w:tc>
          <w:tcPr>
            <w:tcW w:w="2689" w:type="dxa"/>
            <w:shd w:val="clear" w:color="auto" w:fill="auto"/>
            <w:vAlign w:val="center"/>
          </w:tcPr>
          <w:p w:rsidR="00667801" w:rsidRPr="00667801" w:rsidRDefault="00667801" w:rsidP="00667801">
            <w:pPr>
              <w:pStyle w:val="TAL"/>
              <w:jc w:val="center"/>
            </w:pPr>
            <w:r>
              <w:t>‘100’</w:t>
            </w:r>
          </w:p>
        </w:tc>
        <w:tc>
          <w:tcPr>
            <w:tcW w:w="3552" w:type="dxa"/>
            <w:shd w:val="clear" w:color="auto" w:fill="auto"/>
            <w:vAlign w:val="center"/>
          </w:tcPr>
          <w:p w:rsidR="00667801" w:rsidRPr="00E9040D" w:rsidRDefault="00667801" w:rsidP="00F65C2B">
            <w:pPr>
              <w:pStyle w:val="TAC"/>
              <w:ind w:left="400" w:hanging="400"/>
            </w:pPr>
            <w:r>
              <w:t xml:space="preserve">UL SPS configuration </w:t>
            </w:r>
            <w:r w:rsidR="00F65C2B">
              <w:t>3</w:t>
            </w:r>
            <w:r>
              <w:t xml:space="preserve"> for V2X</w:t>
            </w:r>
          </w:p>
        </w:tc>
      </w:tr>
      <w:tr w:rsidR="00667801" w:rsidRPr="00E9040D" w:rsidTr="00F65C2B">
        <w:trPr>
          <w:cantSplit/>
          <w:jc w:val="center"/>
        </w:trPr>
        <w:tc>
          <w:tcPr>
            <w:tcW w:w="2689" w:type="dxa"/>
            <w:shd w:val="clear" w:color="auto" w:fill="auto"/>
            <w:vAlign w:val="center"/>
          </w:tcPr>
          <w:p w:rsidR="00667801" w:rsidRPr="00667801" w:rsidRDefault="00667801" w:rsidP="00667801">
            <w:pPr>
              <w:pStyle w:val="TAL"/>
              <w:jc w:val="center"/>
            </w:pPr>
            <w:r>
              <w:t>‘101’</w:t>
            </w:r>
          </w:p>
        </w:tc>
        <w:tc>
          <w:tcPr>
            <w:tcW w:w="3552" w:type="dxa"/>
            <w:shd w:val="clear" w:color="auto" w:fill="auto"/>
            <w:vAlign w:val="center"/>
          </w:tcPr>
          <w:p w:rsidR="00667801" w:rsidRPr="00E9040D" w:rsidRDefault="00667801" w:rsidP="00F65C2B">
            <w:pPr>
              <w:pStyle w:val="TAC"/>
              <w:ind w:left="400" w:hanging="400"/>
            </w:pPr>
            <w:r>
              <w:t xml:space="preserve">UL SPS configuration </w:t>
            </w:r>
            <w:r w:rsidR="00F65C2B">
              <w:t>4</w:t>
            </w:r>
            <w:r>
              <w:t xml:space="preserve"> for V2X</w:t>
            </w:r>
          </w:p>
        </w:tc>
      </w:tr>
      <w:tr w:rsidR="00667801" w:rsidRPr="00E9040D" w:rsidTr="00F65C2B">
        <w:trPr>
          <w:cantSplit/>
          <w:jc w:val="center"/>
        </w:trPr>
        <w:tc>
          <w:tcPr>
            <w:tcW w:w="2689" w:type="dxa"/>
            <w:shd w:val="clear" w:color="auto" w:fill="auto"/>
            <w:vAlign w:val="center"/>
          </w:tcPr>
          <w:p w:rsidR="00667801" w:rsidRPr="00667801" w:rsidRDefault="00667801" w:rsidP="00667801">
            <w:pPr>
              <w:pStyle w:val="TAL"/>
              <w:jc w:val="center"/>
            </w:pPr>
            <w:r>
              <w:t>‘110’</w:t>
            </w:r>
          </w:p>
        </w:tc>
        <w:tc>
          <w:tcPr>
            <w:tcW w:w="3552" w:type="dxa"/>
            <w:shd w:val="clear" w:color="auto" w:fill="auto"/>
            <w:vAlign w:val="center"/>
          </w:tcPr>
          <w:p w:rsidR="00667801" w:rsidRPr="00E9040D" w:rsidRDefault="00667801" w:rsidP="00F65C2B">
            <w:pPr>
              <w:pStyle w:val="TAC"/>
              <w:ind w:left="400" w:hanging="400"/>
            </w:pPr>
            <w:r>
              <w:t xml:space="preserve">UL SPS configuration </w:t>
            </w:r>
            <w:r w:rsidR="00F65C2B">
              <w:t>5</w:t>
            </w:r>
            <w:r>
              <w:t xml:space="preserve"> for V2X</w:t>
            </w:r>
          </w:p>
        </w:tc>
      </w:tr>
      <w:tr w:rsidR="00667801" w:rsidRPr="00E9040D" w:rsidTr="00F65C2B">
        <w:trPr>
          <w:cantSplit/>
          <w:jc w:val="center"/>
        </w:trPr>
        <w:tc>
          <w:tcPr>
            <w:tcW w:w="2689" w:type="dxa"/>
            <w:shd w:val="clear" w:color="auto" w:fill="auto"/>
            <w:vAlign w:val="center"/>
          </w:tcPr>
          <w:p w:rsidR="00667801" w:rsidRPr="00667801" w:rsidRDefault="00667801" w:rsidP="00667801">
            <w:pPr>
              <w:pStyle w:val="TAL"/>
              <w:jc w:val="center"/>
            </w:pPr>
            <w:r>
              <w:t>‘111’</w:t>
            </w:r>
          </w:p>
        </w:tc>
        <w:tc>
          <w:tcPr>
            <w:tcW w:w="3552" w:type="dxa"/>
            <w:shd w:val="clear" w:color="auto" w:fill="auto"/>
            <w:vAlign w:val="center"/>
          </w:tcPr>
          <w:p w:rsidR="00667801" w:rsidRPr="00E9040D" w:rsidRDefault="00667801" w:rsidP="00F65C2B">
            <w:pPr>
              <w:pStyle w:val="TAC"/>
              <w:ind w:left="400" w:hanging="400"/>
            </w:pPr>
            <w:r>
              <w:t xml:space="preserve">UL SPS configuration </w:t>
            </w:r>
            <w:r w:rsidR="00F65C2B">
              <w:t>6</w:t>
            </w:r>
            <w:r>
              <w:t xml:space="preserve"> for V2X</w:t>
            </w:r>
          </w:p>
        </w:tc>
      </w:tr>
    </w:tbl>
    <w:p w:rsidR="00630812" w:rsidRDefault="00630812" w:rsidP="00630812">
      <w:pPr>
        <w:pStyle w:val="LGTdoc0"/>
        <w:spacing w:before="100" w:beforeAutospacing="1" w:afterLines="0" w:after="100" w:afterAutospacing="1" w:line="240" w:lineRule="auto"/>
        <w:ind w:firstLine="425"/>
        <w:rPr>
          <w:szCs w:val="22"/>
          <w:lang w:val="en-US"/>
        </w:rPr>
      </w:pPr>
      <w:r>
        <w:rPr>
          <w:szCs w:val="22"/>
          <w:lang w:val="en-US"/>
        </w:rPr>
        <w:t xml:space="preserve"> T</w:t>
      </w:r>
      <w:r>
        <w:rPr>
          <w:rFonts w:hint="eastAsia"/>
          <w:szCs w:val="22"/>
          <w:lang w:val="en-US"/>
        </w:rPr>
        <w:t xml:space="preserve">he SPS configuration field can be </w:t>
      </w:r>
      <w:r>
        <w:rPr>
          <w:szCs w:val="22"/>
          <w:lang w:val="en-US"/>
        </w:rPr>
        <w:t xml:space="preserve">also </w:t>
      </w:r>
      <w:r>
        <w:rPr>
          <w:rFonts w:hint="eastAsia"/>
          <w:szCs w:val="22"/>
          <w:lang w:val="en-US"/>
        </w:rPr>
        <w:t xml:space="preserve">expressed as a </w:t>
      </w:r>
      <w:r>
        <w:rPr>
          <w:szCs w:val="22"/>
          <w:lang w:val="en-US"/>
        </w:rPr>
        <w:t xml:space="preserve">full </w:t>
      </w:r>
      <w:r>
        <w:rPr>
          <w:rFonts w:hint="eastAsia"/>
          <w:szCs w:val="22"/>
          <w:lang w:val="en-US"/>
        </w:rPr>
        <w:t>bitmap</w:t>
      </w:r>
      <w:r>
        <w:rPr>
          <w:szCs w:val="22"/>
          <w:lang w:val="en-US"/>
        </w:rPr>
        <w:t xml:space="preserve"> (e.g. 8 bits)</w:t>
      </w:r>
      <w:r>
        <w:rPr>
          <w:rFonts w:hint="eastAsia"/>
          <w:szCs w:val="22"/>
          <w:lang w:val="en-US"/>
        </w:rPr>
        <w:t xml:space="preserve"> format which may be appropriate to indicate the simultaneous operation of multiple SPS configuration</w:t>
      </w:r>
      <w:r>
        <w:rPr>
          <w:szCs w:val="22"/>
          <w:lang w:val="en-US"/>
        </w:rPr>
        <w:t xml:space="preserve"> when the number of SPS configuration is limited to a reasonable number or there remains enough area in the DCI</w:t>
      </w:r>
      <w:r>
        <w:rPr>
          <w:rFonts w:hint="eastAsia"/>
          <w:szCs w:val="22"/>
          <w:lang w:val="en-US"/>
        </w:rPr>
        <w:t>.</w:t>
      </w:r>
    </w:p>
    <w:p w:rsidR="00630812" w:rsidRPr="00630812" w:rsidRDefault="00630812" w:rsidP="00630812">
      <w:pPr>
        <w:pStyle w:val="LGTdoc0"/>
        <w:spacing w:before="120" w:afterLines="0" w:after="0" w:line="240" w:lineRule="auto"/>
        <w:rPr>
          <w:i/>
          <w:szCs w:val="22"/>
          <w:lang w:val="en-US"/>
        </w:rPr>
      </w:pPr>
      <w:r w:rsidRPr="00630812">
        <w:rPr>
          <w:rFonts w:hint="eastAsia"/>
          <w:i/>
          <w:szCs w:val="22"/>
          <w:lang w:val="en-US"/>
        </w:rPr>
        <w:t>Proposal: UL SPS design for V2X is based on the outcome on SL SPS in SL-based V2V WI.</w:t>
      </w:r>
    </w:p>
    <w:p w:rsidR="00D8130D" w:rsidRDefault="00D8130D" w:rsidP="00D8130D">
      <w:pPr>
        <w:pStyle w:val="LGTdoc0"/>
        <w:spacing w:before="120" w:afterLines="0" w:after="0" w:line="240" w:lineRule="auto"/>
        <w:rPr>
          <w:i/>
          <w:szCs w:val="22"/>
          <w:lang w:val="en-US"/>
        </w:rPr>
      </w:pPr>
      <w:r w:rsidRPr="00630812">
        <w:rPr>
          <w:rFonts w:hint="eastAsia"/>
          <w:i/>
          <w:szCs w:val="22"/>
          <w:lang w:val="en-US"/>
        </w:rPr>
        <w:t>Proposal:</w:t>
      </w:r>
      <w:r w:rsidR="007E12F9">
        <w:rPr>
          <w:i/>
          <w:szCs w:val="22"/>
          <w:lang w:val="en-US"/>
        </w:rPr>
        <w:t xml:space="preserve"> DCI format 0 can be reused for design of UL SPS (E)PDCCH for V2X</w:t>
      </w:r>
      <w:r w:rsidRPr="00630812">
        <w:rPr>
          <w:rFonts w:hint="eastAsia"/>
          <w:i/>
          <w:szCs w:val="22"/>
          <w:lang w:val="en-US"/>
        </w:rPr>
        <w:t>.</w:t>
      </w:r>
    </w:p>
    <w:p w:rsidR="00D8130D" w:rsidRPr="00630812" w:rsidRDefault="00D8130D" w:rsidP="00D8130D">
      <w:pPr>
        <w:pStyle w:val="LGTdoc0"/>
        <w:spacing w:before="120" w:afterLines="0" w:after="0" w:line="240" w:lineRule="auto"/>
        <w:rPr>
          <w:i/>
          <w:szCs w:val="22"/>
          <w:lang w:val="en-US"/>
        </w:rPr>
      </w:pPr>
    </w:p>
    <w:p w:rsidR="008423F3" w:rsidRDefault="008423F3" w:rsidP="008423F3">
      <w:pPr>
        <w:pStyle w:val="LGTdoc0"/>
        <w:numPr>
          <w:ilvl w:val="1"/>
          <w:numId w:val="3"/>
        </w:numPr>
        <w:spacing w:before="100" w:beforeAutospacing="1" w:afterLines="0" w:after="100" w:afterAutospacing="1" w:line="240" w:lineRule="auto"/>
        <w:rPr>
          <w:szCs w:val="22"/>
          <w:lang w:val="en-US"/>
        </w:rPr>
      </w:pPr>
      <w:r>
        <w:rPr>
          <w:szCs w:val="22"/>
          <w:lang w:val="en-US"/>
        </w:rPr>
        <w:t xml:space="preserve">Handling </w:t>
      </w:r>
      <w:r w:rsidR="001918C6">
        <w:rPr>
          <w:szCs w:val="22"/>
          <w:lang w:val="en-US"/>
        </w:rPr>
        <w:t>of</w:t>
      </w:r>
      <w:r>
        <w:rPr>
          <w:szCs w:val="22"/>
          <w:lang w:val="en-US"/>
        </w:rPr>
        <w:t xml:space="preserve"> collision between different SPS configurations</w:t>
      </w:r>
    </w:p>
    <w:p w:rsidR="008423F3" w:rsidRDefault="008423F3" w:rsidP="008423F3">
      <w:pPr>
        <w:pStyle w:val="LGTdoc0"/>
        <w:spacing w:before="100" w:beforeAutospacing="1" w:afterLines="0" w:after="100" w:afterAutospacing="1" w:line="240" w:lineRule="auto"/>
        <w:ind w:firstLine="425"/>
        <w:rPr>
          <w:szCs w:val="22"/>
          <w:lang w:val="en-US"/>
        </w:rPr>
      </w:pPr>
      <w:r>
        <w:rPr>
          <w:rFonts w:hint="eastAsia"/>
          <w:szCs w:val="22"/>
          <w:lang w:val="en-US"/>
        </w:rPr>
        <w:t>An important topic in UL SPS is how to handle the variation in the message arrival pattern. Once the message arrival pattern changes, a UE needs to report this to eNB so that a proper action can be taken. As proposed above, UE report for SL SPS discussed in [</w:t>
      </w:r>
      <w:r>
        <w:rPr>
          <w:szCs w:val="22"/>
          <w:lang w:val="en-US"/>
        </w:rPr>
        <w:t>3</w:t>
      </w:r>
      <w:r>
        <w:rPr>
          <w:rFonts w:hint="eastAsia"/>
          <w:szCs w:val="22"/>
          <w:lang w:val="en-US"/>
        </w:rPr>
        <w:t>] can be the benchmark of the UL SPS design, and we reiterate the discussion below for the convenience of technical discussion.</w:t>
      </w:r>
    </w:p>
    <w:p w:rsidR="008423F3" w:rsidRDefault="008423F3" w:rsidP="008423F3">
      <w:pPr>
        <w:pStyle w:val="LGTdoc0"/>
        <w:spacing w:before="100" w:beforeAutospacing="1" w:afterLines="0" w:after="100" w:afterAutospacing="1" w:line="240" w:lineRule="auto"/>
        <w:ind w:firstLine="360"/>
        <w:rPr>
          <w:szCs w:val="22"/>
          <w:lang w:val="en-US"/>
        </w:rPr>
      </w:pPr>
      <w:r>
        <w:rPr>
          <w:rFonts w:hint="eastAsia"/>
          <w:szCs w:val="22"/>
          <w:lang w:val="en-US"/>
        </w:rPr>
        <w:t xml:space="preserve">The details of the working assumption </w:t>
      </w:r>
      <w:r>
        <w:rPr>
          <w:szCs w:val="22"/>
          <w:lang w:val="en-US"/>
        </w:rPr>
        <w:t>“</w:t>
      </w:r>
      <w:r w:rsidRPr="004D018F">
        <w:rPr>
          <w:rFonts w:ascii="Times" w:eastAsia="MS Mincho" w:hAnsi="Times"/>
          <w:kern w:val="0"/>
          <w:szCs w:val="20"/>
          <w:lang w:eastAsia="ja-JP"/>
        </w:rPr>
        <w:t>The UE can indicate to the eNB that it does not intend to transmit data before a transmission associated to an SPS configuration</w:t>
      </w:r>
      <w:r>
        <w:rPr>
          <w:szCs w:val="22"/>
          <w:lang w:val="en-US"/>
        </w:rPr>
        <w:t>”</w:t>
      </w:r>
      <w:r>
        <w:rPr>
          <w:rFonts w:hint="eastAsia"/>
          <w:szCs w:val="22"/>
          <w:lang w:val="en-US"/>
        </w:rPr>
        <w:t xml:space="preserve"> can be further discussed. One topic is whether the intention of no data transmission is limited to a single SPS transmission opportunity of an SPS configuration or the intention will last for relatively long time duration for an SPS configuration. </w:t>
      </w:r>
    </w:p>
    <w:p w:rsidR="008423F3" w:rsidRDefault="008423F3" w:rsidP="008423F3">
      <w:pPr>
        <w:pStyle w:val="LGTdoc0"/>
        <w:spacing w:before="100" w:beforeAutospacing="1" w:afterLines="0" w:after="100" w:afterAutospacing="1" w:line="240" w:lineRule="auto"/>
        <w:ind w:firstLine="360"/>
        <w:rPr>
          <w:szCs w:val="22"/>
          <w:lang w:val="en-US"/>
        </w:rPr>
      </w:pPr>
      <w:r>
        <w:rPr>
          <w:rFonts w:hint="eastAsia"/>
          <w:szCs w:val="22"/>
          <w:lang w:val="en-US"/>
        </w:rPr>
        <w:t xml:space="preserve">For the indication of a long-term intention, the UE report is a kind of </w:t>
      </w:r>
      <w:r>
        <w:rPr>
          <w:szCs w:val="22"/>
          <w:lang w:val="en-US"/>
        </w:rPr>
        <w:t>“</w:t>
      </w:r>
      <w:r>
        <w:rPr>
          <w:rFonts w:hint="eastAsia"/>
          <w:szCs w:val="22"/>
          <w:lang w:val="en-US"/>
        </w:rPr>
        <w:t>request to change/release the SPS configuration.</w:t>
      </w:r>
      <w:r>
        <w:rPr>
          <w:szCs w:val="22"/>
          <w:lang w:val="en-US"/>
        </w:rPr>
        <w:t>”</w:t>
      </w:r>
      <w:r>
        <w:rPr>
          <w:rFonts w:hint="eastAsia"/>
          <w:szCs w:val="22"/>
          <w:lang w:val="en-US"/>
        </w:rPr>
        <w:t xml:space="preserve"> That is, if a UE does not intend to use a certain SPS configuration for a while due to the change in the message arrival pattern, it can report this situation so that the eNB can activate a different SPS configuration more aligned with the new message pattern. We note that it is agreed to dynamically activate/release different SPS configurations and such report is needed to assist the eNB operation. As this indication will not be as frequent as the SPS period which is not shorter than 100 ms, high layer signaling seems proper in order to avoid excessive UL overhead for this report. So the details of the report can be discussed in RAN2.</w:t>
      </w:r>
    </w:p>
    <w:p w:rsidR="008423F3" w:rsidRDefault="008423F3" w:rsidP="008423F3">
      <w:pPr>
        <w:pStyle w:val="LGTdoc0"/>
        <w:spacing w:before="100" w:beforeAutospacing="1" w:afterLines="0" w:after="100" w:afterAutospacing="1" w:line="240" w:lineRule="auto"/>
        <w:ind w:firstLine="360"/>
        <w:rPr>
          <w:szCs w:val="22"/>
          <w:lang w:val="en-US"/>
        </w:rPr>
      </w:pPr>
      <w:r>
        <w:rPr>
          <w:rFonts w:hint="eastAsia"/>
          <w:szCs w:val="22"/>
          <w:lang w:val="en-US"/>
        </w:rPr>
        <w:t xml:space="preserve">For the indication of a short-term intention, the UE report is a kind of </w:t>
      </w:r>
      <w:r>
        <w:rPr>
          <w:szCs w:val="22"/>
          <w:lang w:val="en-US"/>
        </w:rPr>
        <w:t>“</w:t>
      </w:r>
      <w:r>
        <w:rPr>
          <w:rFonts w:hint="eastAsia"/>
          <w:szCs w:val="22"/>
          <w:lang w:val="en-US"/>
        </w:rPr>
        <w:t>confirmation on a single transmission opportunity</w:t>
      </w:r>
      <w:r>
        <w:rPr>
          <w:szCs w:val="22"/>
          <w:lang w:val="en-US"/>
        </w:rPr>
        <w:t>”</w:t>
      </w:r>
      <w:r>
        <w:rPr>
          <w:rFonts w:hint="eastAsia"/>
          <w:szCs w:val="22"/>
          <w:lang w:val="en-US"/>
        </w:rPr>
        <w:t xml:space="preserve"> and the eNB can know whether a certain SPS opportunity will be actually used by the UE or not. As a design detail, the confirmation can be either </w:t>
      </w:r>
      <w:r>
        <w:rPr>
          <w:szCs w:val="22"/>
          <w:lang w:val="en-US"/>
        </w:rPr>
        <w:t>“</w:t>
      </w:r>
      <w:r>
        <w:rPr>
          <w:rFonts w:hint="eastAsia"/>
          <w:szCs w:val="22"/>
          <w:lang w:val="en-US"/>
        </w:rPr>
        <w:t>positive confirmation</w:t>
      </w:r>
      <w:r>
        <w:rPr>
          <w:szCs w:val="22"/>
          <w:lang w:val="en-US"/>
        </w:rPr>
        <w:t>”</w:t>
      </w:r>
      <w:r>
        <w:rPr>
          <w:rFonts w:hint="eastAsia"/>
          <w:szCs w:val="22"/>
          <w:lang w:val="en-US"/>
        </w:rPr>
        <w:t xml:space="preserve"> or </w:t>
      </w:r>
      <w:r>
        <w:rPr>
          <w:szCs w:val="22"/>
          <w:lang w:val="en-US"/>
        </w:rPr>
        <w:t>“</w:t>
      </w:r>
      <w:r>
        <w:rPr>
          <w:rFonts w:hint="eastAsia"/>
          <w:szCs w:val="22"/>
          <w:lang w:val="en-US"/>
        </w:rPr>
        <w:t>negative confirmation.</w:t>
      </w:r>
      <w:r>
        <w:rPr>
          <w:szCs w:val="22"/>
          <w:lang w:val="en-US"/>
        </w:rPr>
        <w:t>”</w:t>
      </w:r>
      <w:r>
        <w:rPr>
          <w:rFonts w:hint="eastAsia"/>
          <w:szCs w:val="22"/>
          <w:lang w:val="en-US"/>
        </w:rPr>
        <w:t xml:space="preserve"> In case of positive confirmation, the UE reports when it transmits data and the absence of this positive confirmation is interpreted as indication of no data transmission such that the corresponding resources can be used for the other purpose. In case of negative confirmation, the UE reports when it does not transmit data. Comparing these two possibilities, positive confirmation seems a better choice in the sense that it can reduce the number of transmissions for this report. If the indication of a short-term intention is to address the difficulty in eNB</w:t>
      </w:r>
      <w:r>
        <w:rPr>
          <w:szCs w:val="22"/>
          <w:lang w:val="en-US"/>
        </w:rPr>
        <w:t>’</w:t>
      </w:r>
      <w:r>
        <w:rPr>
          <w:rFonts w:hint="eastAsia"/>
          <w:szCs w:val="22"/>
          <w:lang w:val="en-US"/>
        </w:rPr>
        <w:t xml:space="preserve">s tracking fast change in the message arrival pattern, eNB needs to allocate many transmission opportunities </w:t>
      </w:r>
      <w:r>
        <w:rPr>
          <w:szCs w:val="22"/>
          <w:lang w:val="en-US"/>
        </w:rPr>
        <w:t>with</w:t>
      </w:r>
      <w:r>
        <w:rPr>
          <w:rFonts w:hint="eastAsia"/>
          <w:szCs w:val="22"/>
          <w:lang w:val="en-US"/>
        </w:rPr>
        <w:t xml:space="preserve"> a short SPS period and a UE will use only a part of them while skipping the other opportunities. Thus, having positive confirmation has the benefit that transmission of the confirmation message is not more than the actual SPS data transmission. </w:t>
      </w:r>
      <w:r>
        <w:rPr>
          <w:szCs w:val="22"/>
          <w:lang w:val="en-US"/>
        </w:rPr>
        <w:t>T</w:t>
      </w:r>
      <w:r>
        <w:rPr>
          <w:rFonts w:hint="eastAsia"/>
          <w:szCs w:val="22"/>
          <w:lang w:val="en-US"/>
        </w:rPr>
        <w:t xml:space="preserve">his benefit becomes much clearer when a UE is configured with multiple SPS configurations, e.g., in order to handle the message size variation, because, in case of negative confirmation, a UE needs to transmit something before all the unused SPS opportunities. On the other hand, positive </w:t>
      </w:r>
      <w:r>
        <w:rPr>
          <w:szCs w:val="22"/>
          <w:lang w:val="en-US"/>
        </w:rPr>
        <w:t>configuration</w:t>
      </w:r>
      <w:r>
        <w:rPr>
          <w:rFonts w:hint="eastAsia"/>
          <w:szCs w:val="22"/>
          <w:lang w:val="en-US"/>
        </w:rPr>
        <w:t xml:space="preserve"> can be generalized to the </w:t>
      </w:r>
      <w:r>
        <w:rPr>
          <w:szCs w:val="22"/>
          <w:lang w:val="en-US"/>
        </w:rPr>
        <w:t>“</w:t>
      </w:r>
      <w:r>
        <w:rPr>
          <w:rFonts w:hint="eastAsia"/>
          <w:szCs w:val="22"/>
          <w:lang w:val="en-US"/>
        </w:rPr>
        <w:t>selector</w:t>
      </w:r>
      <w:r>
        <w:rPr>
          <w:szCs w:val="22"/>
          <w:lang w:val="en-US"/>
        </w:rPr>
        <w:t>”</w:t>
      </w:r>
      <w:r>
        <w:rPr>
          <w:rFonts w:hint="eastAsia"/>
          <w:szCs w:val="22"/>
          <w:lang w:val="en-US"/>
        </w:rPr>
        <w:t xml:space="preserve"> of SPS </w:t>
      </w:r>
      <w:r>
        <w:rPr>
          <w:rFonts w:hint="eastAsia"/>
          <w:szCs w:val="22"/>
          <w:lang w:val="en-US"/>
        </w:rPr>
        <w:lastRenderedPageBreak/>
        <w:t>configuration in each data transmission when the confirmation can indicate the SPS configuration which is actually used. For example, a PUCCH resource can be allocated to a UE and the index of the SPS configuration which will be used for the next data transmission can be included in the PUCCH transmission.</w:t>
      </w:r>
    </w:p>
    <w:p w:rsidR="008423F3" w:rsidRDefault="008423F3" w:rsidP="008423F3">
      <w:pPr>
        <w:pStyle w:val="LGTdoc0"/>
        <w:spacing w:before="100" w:beforeAutospacing="1" w:afterLines="0" w:after="100" w:afterAutospacing="1" w:line="240" w:lineRule="auto"/>
        <w:ind w:firstLine="360"/>
        <w:rPr>
          <w:szCs w:val="22"/>
          <w:lang w:val="en-US"/>
        </w:rPr>
      </w:pPr>
      <w:r>
        <w:rPr>
          <w:rFonts w:hint="eastAsia"/>
          <w:szCs w:val="22"/>
          <w:lang w:val="en-US"/>
        </w:rPr>
        <w:t xml:space="preserve">Figure 1 illustrates an example where the two discussed reports are used together. Here, a UE is configured </w:t>
      </w:r>
      <w:r>
        <w:rPr>
          <w:szCs w:val="22"/>
          <w:lang w:val="en-US"/>
        </w:rPr>
        <w:t>with</w:t>
      </w:r>
      <w:r>
        <w:rPr>
          <w:rFonts w:hint="eastAsia"/>
          <w:szCs w:val="22"/>
          <w:lang w:val="en-US"/>
        </w:rPr>
        <w:t xml:space="preserve"> three SPS configurations with different periods, 1000, 500, and 100 ms. The UE is first activated with SPS configuration #1. When the message generation period changes to 100 ms, the UE reports the </w:t>
      </w:r>
      <w:r>
        <w:rPr>
          <w:szCs w:val="22"/>
          <w:lang w:val="en-US"/>
        </w:rPr>
        <w:t>“</w:t>
      </w:r>
      <w:r>
        <w:rPr>
          <w:rFonts w:hint="eastAsia"/>
          <w:szCs w:val="22"/>
          <w:lang w:val="en-US"/>
        </w:rPr>
        <w:t>change request</w:t>
      </w:r>
      <w:r>
        <w:rPr>
          <w:szCs w:val="22"/>
          <w:lang w:val="en-US"/>
        </w:rPr>
        <w:t>”</w:t>
      </w:r>
      <w:r>
        <w:rPr>
          <w:rFonts w:hint="eastAsia"/>
          <w:szCs w:val="22"/>
          <w:lang w:val="en-US"/>
        </w:rPr>
        <w:t xml:space="preserve"> so that the eNB can release SPS configuration #1 and activate SPS configuration #3. Then, the message generation period changes to 500 ms, the UE does not have data in some SPS opportunities, and </w:t>
      </w:r>
      <w:r>
        <w:rPr>
          <w:szCs w:val="22"/>
          <w:lang w:val="en-US"/>
        </w:rPr>
        <w:t>neither positive confirmation nor</w:t>
      </w:r>
      <w:r>
        <w:rPr>
          <w:rFonts w:hint="eastAsia"/>
          <w:szCs w:val="22"/>
          <w:lang w:val="en-US"/>
        </w:rPr>
        <w:t xml:space="preserve"> the corresponding data is transmitted accordingly. When the UE recognizes this situation, the UE reports the </w:t>
      </w:r>
      <w:r>
        <w:rPr>
          <w:szCs w:val="22"/>
          <w:lang w:val="en-US"/>
        </w:rPr>
        <w:t>“</w:t>
      </w:r>
      <w:r>
        <w:rPr>
          <w:rFonts w:hint="eastAsia"/>
          <w:szCs w:val="22"/>
          <w:lang w:val="en-US"/>
        </w:rPr>
        <w:t>change request</w:t>
      </w:r>
      <w:r>
        <w:rPr>
          <w:szCs w:val="22"/>
          <w:lang w:val="en-US"/>
        </w:rPr>
        <w:t>”</w:t>
      </w:r>
      <w:r>
        <w:rPr>
          <w:rFonts w:hint="eastAsia"/>
          <w:szCs w:val="22"/>
          <w:lang w:val="en-US"/>
        </w:rPr>
        <w:t xml:space="preserve"> again so that the eNB can activate SPS configuration #2.</w:t>
      </w:r>
    </w:p>
    <w:p w:rsidR="008423F3" w:rsidRPr="00E6619C" w:rsidRDefault="008423F3" w:rsidP="008423F3">
      <w:pPr>
        <w:pStyle w:val="LGTdoc0"/>
        <w:spacing w:before="100" w:beforeAutospacing="1" w:afterLines="0" w:after="100" w:afterAutospacing="1" w:line="240" w:lineRule="auto"/>
        <w:ind w:firstLine="360"/>
        <w:rPr>
          <w:szCs w:val="22"/>
          <w:lang w:val="en-US"/>
        </w:rPr>
      </w:pPr>
    </w:p>
    <w:p w:rsidR="008423F3" w:rsidRDefault="008423F3" w:rsidP="008423F3">
      <w:pPr>
        <w:pStyle w:val="LGTdoc0"/>
        <w:spacing w:before="100" w:beforeAutospacing="1" w:afterLines="0" w:after="100" w:afterAutospacing="1" w:line="240" w:lineRule="auto"/>
        <w:rPr>
          <w:szCs w:val="22"/>
          <w:lang w:val="en-US"/>
        </w:rPr>
      </w:pPr>
      <w:r w:rsidRPr="00397202">
        <w:rPr>
          <w:rFonts w:hint="eastAsia"/>
          <w:noProof/>
          <w:lang w:val="en-US"/>
        </w:rPr>
        <w:drawing>
          <wp:inline distT="0" distB="0" distL="0" distR="0">
            <wp:extent cx="5943600" cy="117475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174750"/>
                    </a:xfrm>
                    <a:prstGeom prst="rect">
                      <a:avLst/>
                    </a:prstGeom>
                    <a:noFill/>
                    <a:ln>
                      <a:noFill/>
                    </a:ln>
                  </pic:spPr>
                </pic:pic>
              </a:graphicData>
            </a:graphic>
          </wp:inline>
        </w:drawing>
      </w:r>
    </w:p>
    <w:p w:rsidR="008423F3" w:rsidRDefault="008423F3" w:rsidP="008423F3">
      <w:pPr>
        <w:pStyle w:val="LGTdoc0"/>
        <w:spacing w:before="100" w:beforeAutospacing="1" w:afterLines="0" w:after="100" w:afterAutospacing="1" w:line="240" w:lineRule="auto"/>
        <w:jc w:val="center"/>
        <w:rPr>
          <w:szCs w:val="22"/>
          <w:lang w:val="en-US"/>
        </w:rPr>
      </w:pPr>
      <w:r>
        <w:rPr>
          <w:rFonts w:hint="eastAsia"/>
          <w:szCs w:val="22"/>
          <w:lang w:val="en-US"/>
        </w:rPr>
        <w:t>Figure 1. An example of using UE report in adaptation to the message arrival pattern change.</w:t>
      </w:r>
    </w:p>
    <w:p w:rsidR="008423F3" w:rsidRDefault="008423F3" w:rsidP="008423F3">
      <w:pPr>
        <w:pStyle w:val="LGTdoc0"/>
        <w:spacing w:before="100" w:beforeAutospacing="1" w:afterLines="0" w:after="100" w:afterAutospacing="1" w:line="240" w:lineRule="auto"/>
        <w:ind w:firstLine="360"/>
        <w:rPr>
          <w:szCs w:val="22"/>
          <w:lang w:val="en-US"/>
        </w:rPr>
      </w:pPr>
    </w:p>
    <w:p w:rsidR="008423F3" w:rsidRDefault="008423F3" w:rsidP="008423F3">
      <w:pPr>
        <w:pStyle w:val="LGTdoc0"/>
        <w:spacing w:before="120" w:afterLines="0" w:after="0" w:line="240" w:lineRule="auto"/>
        <w:rPr>
          <w:szCs w:val="22"/>
          <w:lang w:val="en-US"/>
        </w:rPr>
      </w:pPr>
      <w:r>
        <w:rPr>
          <w:rFonts w:hint="eastAsia"/>
          <w:szCs w:val="22"/>
          <w:lang w:val="en-US"/>
        </w:rPr>
        <w:t xml:space="preserve">For the short-term </w:t>
      </w:r>
      <w:r>
        <w:rPr>
          <w:szCs w:val="22"/>
          <w:lang w:val="en-US"/>
        </w:rPr>
        <w:t>intention</w:t>
      </w:r>
      <w:r>
        <w:rPr>
          <w:rFonts w:hint="eastAsia"/>
          <w:szCs w:val="22"/>
          <w:lang w:val="en-US"/>
        </w:rPr>
        <w:t xml:space="preserve"> report on the confirmation of SPS transmission, RAN1 needs to further consider how it is multiplexed with other UL transmissions. In </w:t>
      </w:r>
      <w:bookmarkStart w:id="2" w:name="_GoBack"/>
      <w:bookmarkEnd w:id="2"/>
      <w:r>
        <w:rPr>
          <w:rFonts w:hint="eastAsia"/>
          <w:szCs w:val="22"/>
          <w:lang w:val="en-US"/>
        </w:rPr>
        <w:t xml:space="preserve">order to simplify the specification impact, it is proposed that such report related to SL transmission has a lower priority than any other existing UL transmissions. For </w:t>
      </w:r>
      <w:r>
        <w:rPr>
          <w:szCs w:val="22"/>
          <w:lang w:val="en-US"/>
        </w:rPr>
        <w:t>example</w:t>
      </w:r>
      <w:r>
        <w:rPr>
          <w:rFonts w:hint="eastAsia"/>
          <w:szCs w:val="22"/>
          <w:lang w:val="en-US"/>
        </w:rPr>
        <w:t xml:space="preserve">, when a UE is scheduled to transmit UL HARQ-ACK or PUSCH in a subframe, the confirmation of SPS transmission is dropped. As the eNB knows when a UE may transmit this </w:t>
      </w:r>
      <w:r>
        <w:rPr>
          <w:szCs w:val="22"/>
          <w:lang w:val="en-US"/>
        </w:rPr>
        <w:t>confirmation</w:t>
      </w:r>
      <w:r>
        <w:rPr>
          <w:rFonts w:hint="eastAsia"/>
          <w:szCs w:val="22"/>
          <w:lang w:val="en-US"/>
        </w:rPr>
        <w:t xml:space="preserve">, it can always avoid the dropping situation by its scheduling. When the confirmation transmission is dropped by eNB </w:t>
      </w:r>
      <w:r>
        <w:rPr>
          <w:szCs w:val="22"/>
          <w:lang w:val="en-US"/>
        </w:rPr>
        <w:t>scheduling</w:t>
      </w:r>
      <w:r>
        <w:rPr>
          <w:rFonts w:hint="eastAsia"/>
          <w:szCs w:val="22"/>
          <w:lang w:val="en-US"/>
        </w:rPr>
        <w:t>, a UE should be able to transmit data in the associated SPS opportunity not to violate the latency requirement. eNB will not use the SPS resource for the other purpose as it knows that the confirmation transmission is dropped.</w:t>
      </w:r>
    </w:p>
    <w:p w:rsidR="008423F3" w:rsidRDefault="008423F3" w:rsidP="00933FC4">
      <w:pPr>
        <w:pStyle w:val="LGTdoc0"/>
        <w:spacing w:before="120" w:afterLines="0" w:after="0" w:line="240" w:lineRule="auto"/>
        <w:rPr>
          <w:szCs w:val="22"/>
          <w:lang w:val="en-US"/>
        </w:rPr>
      </w:pPr>
    </w:p>
    <w:p w:rsidR="00933FC4" w:rsidRPr="00773C67" w:rsidRDefault="00933FC4" w:rsidP="00933FC4">
      <w:pPr>
        <w:pStyle w:val="LGTdoc1"/>
        <w:numPr>
          <w:ilvl w:val="0"/>
          <w:numId w:val="3"/>
        </w:numPr>
        <w:spacing w:beforeLines="0" w:after="0" w:afterAutospacing="0"/>
        <w:rPr>
          <w:lang w:val="en-US"/>
        </w:rPr>
      </w:pPr>
      <w:r w:rsidRPr="00773C67">
        <w:rPr>
          <w:rFonts w:hint="eastAsia"/>
          <w:lang w:val="en-US"/>
        </w:rPr>
        <w:t>Conclusion</w:t>
      </w:r>
    </w:p>
    <w:p w:rsidR="008423F3" w:rsidRDefault="008423F3" w:rsidP="008423F3">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Pr>
          <w:rFonts w:hint="eastAsia"/>
          <w:szCs w:val="22"/>
          <w:lang w:val="en-US"/>
        </w:rPr>
        <w:t>discussed</w:t>
      </w:r>
      <w:r w:rsidRPr="00773C67">
        <w:rPr>
          <w:rFonts w:hint="eastAsia"/>
          <w:szCs w:val="22"/>
          <w:lang w:val="en-US"/>
        </w:rPr>
        <w:t xml:space="preserve"> on </w:t>
      </w:r>
      <w:r>
        <w:rPr>
          <w:rFonts w:hint="eastAsia"/>
          <w:szCs w:val="22"/>
          <w:lang w:val="en-US"/>
        </w:rPr>
        <w:t xml:space="preserve">the </w:t>
      </w:r>
      <w:r>
        <w:rPr>
          <w:szCs w:val="22"/>
          <w:lang w:val="en-US"/>
        </w:rPr>
        <w:t>details of uplink SPS (E)PDCCH design and related uplink issues</w:t>
      </w:r>
      <w:r>
        <w:rPr>
          <w:rFonts w:hint="eastAsia"/>
          <w:szCs w:val="22"/>
          <w:lang w:val="en-US"/>
        </w:rPr>
        <w:t>. Our observations and proposals can be summarized as follows:</w:t>
      </w:r>
    </w:p>
    <w:p w:rsidR="007E12F9" w:rsidRPr="007E12F9" w:rsidRDefault="007E12F9" w:rsidP="007E12F9">
      <w:pPr>
        <w:pStyle w:val="LGTdoc0"/>
        <w:spacing w:before="120" w:afterLines="0" w:after="0" w:line="240" w:lineRule="auto"/>
        <w:rPr>
          <w:b/>
          <w:i/>
          <w:szCs w:val="22"/>
          <w:lang w:val="en-US"/>
        </w:rPr>
      </w:pPr>
      <w:r w:rsidRPr="007E12F9">
        <w:rPr>
          <w:rFonts w:hint="eastAsia"/>
          <w:b/>
          <w:i/>
          <w:szCs w:val="22"/>
          <w:lang w:val="en-US"/>
        </w:rPr>
        <w:t>Proposal: UL SPS design for V2X is based on the outcome on SL SPS in SL-based V2V WI.</w:t>
      </w:r>
    </w:p>
    <w:p w:rsidR="001918C6" w:rsidRPr="007E12F9" w:rsidRDefault="007E12F9" w:rsidP="001918C6">
      <w:pPr>
        <w:pStyle w:val="LGTdoc0"/>
        <w:spacing w:before="120" w:afterLines="0" w:after="0" w:line="240" w:lineRule="auto"/>
        <w:rPr>
          <w:b/>
          <w:i/>
          <w:szCs w:val="22"/>
          <w:lang w:val="en-US"/>
        </w:rPr>
      </w:pPr>
      <w:r w:rsidRPr="007E12F9">
        <w:rPr>
          <w:rFonts w:hint="eastAsia"/>
          <w:b/>
          <w:i/>
          <w:szCs w:val="22"/>
          <w:lang w:val="en-US"/>
        </w:rPr>
        <w:t>Proposal:</w:t>
      </w:r>
      <w:r w:rsidRPr="007E12F9">
        <w:rPr>
          <w:b/>
          <w:i/>
          <w:szCs w:val="22"/>
          <w:lang w:val="en-US"/>
        </w:rPr>
        <w:t xml:space="preserve"> DCI format 0 can be reused for design of UL SPS (E)PDCCH for V2X</w:t>
      </w:r>
      <w:r w:rsidRPr="007E12F9">
        <w:rPr>
          <w:rFonts w:hint="eastAsia"/>
          <w:b/>
          <w:i/>
          <w:szCs w:val="22"/>
          <w:lang w:val="en-US"/>
        </w:rPr>
        <w:t>.</w:t>
      </w:r>
    </w:p>
    <w:p w:rsidR="00DD4190" w:rsidRPr="00773C67" w:rsidRDefault="00DD4190" w:rsidP="00933FC4">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D20102" w:rsidRDefault="003B6D16" w:rsidP="000A5369">
      <w:pPr>
        <w:pStyle w:val="LGTdoc0"/>
        <w:spacing w:before="120" w:afterLines="0" w:after="0" w:line="240" w:lineRule="auto"/>
        <w:rPr>
          <w:szCs w:val="22"/>
          <w:lang w:val="en-US"/>
        </w:rPr>
      </w:pPr>
      <w:r w:rsidRPr="00773C67">
        <w:rPr>
          <w:rFonts w:hint="eastAsia"/>
          <w:szCs w:val="22"/>
          <w:lang w:val="en-US"/>
        </w:rPr>
        <w:t xml:space="preserve">[1] </w:t>
      </w:r>
      <w:r w:rsidR="005464D1">
        <w:rPr>
          <w:rFonts w:hint="eastAsia"/>
          <w:szCs w:val="22"/>
          <w:lang w:val="en-US"/>
        </w:rPr>
        <w:t>Chairman</w:t>
      </w:r>
      <w:r w:rsidR="005464D1">
        <w:rPr>
          <w:szCs w:val="22"/>
          <w:lang w:val="en-US"/>
        </w:rPr>
        <w:t>’</w:t>
      </w:r>
      <w:r w:rsidR="005464D1">
        <w:rPr>
          <w:rFonts w:hint="eastAsia"/>
          <w:szCs w:val="22"/>
          <w:lang w:val="en-US"/>
        </w:rPr>
        <w:t>s note</w:t>
      </w:r>
      <w:r w:rsidR="00706527">
        <w:rPr>
          <w:rFonts w:hint="eastAsia"/>
          <w:szCs w:val="22"/>
          <w:lang w:val="en-US"/>
        </w:rPr>
        <w:t>, 3GPP RAN1 #84bis</w:t>
      </w:r>
    </w:p>
    <w:p w:rsidR="008423F3" w:rsidRDefault="008423F3" w:rsidP="008423F3">
      <w:pPr>
        <w:pStyle w:val="LGTdoc0"/>
        <w:spacing w:before="120"/>
        <w:ind w:left="284" w:hangingChars="129" w:hanging="284"/>
        <w:jc w:val="left"/>
        <w:rPr>
          <w:szCs w:val="22"/>
          <w:lang w:val="en-US"/>
        </w:rPr>
      </w:pPr>
      <w:r>
        <w:rPr>
          <w:szCs w:val="22"/>
          <w:lang w:val="en-US"/>
        </w:rPr>
        <w:t>[2] R1-168830, “</w:t>
      </w:r>
      <w:r w:rsidRPr="00BA52F8">
        <w:rPr>
          <w:szCs w:val="22"/>
          <w:lang w:val="en-US"/>
        </w:rPr>
        <w:t>Remaining details of (E)PDCCH design of scheduling for sidelink resource</w:t>
      </w:r>
      <w:r>
        <w:rPr>
          <w:szCs w:val="22"/>
          <w:lang w:val="en-US"/>
        </w:rPr>
        <w:t>,” LG Electronics.</w:t>
      </w:r>
    </w:p>
    <w:p w:rsidR="00D20102" w:rsidRPr="001918C6" w:rsidRDefault="008423F3" w:rsidP="007E12F9">
      <w:pPr>
        <w:pStyle w:val="LGTdoc0"/>
        <w:spacing w:before="120" w:afterLines="0" w:after="0" w:line="240" w:lineRule="auto"/>
        <w:rPr>
          <w:b/>
          <w:sz w:val="28"/>
          <w:szCs w:val="28"/>
        </w:rPr>
      </w:pPr>
      <w:r>
        <w:rPr>
          <w:rFonts w:ascii="Times" w:eastAsia="맑은 고딕" w:hAnsi="Times" w:hint="eastAsia"/>
          <w:kern w:val="0"/>
        </w:rPr>
        <w:t>[</w:t>
      </w:r>
      <w:r>
        <w:rPr>
          <w:rFonts w:ascii="Times" w:eastAsia="맑은 고딕" w:hAnsi="Times"/>
          <w:kern w:val="0"/>
        </w:rPr>
        <w:t>3</w:t>
      </w:r>
      <w:r>
        <w:rPr>
          <w:rFonts w:ascii="Times" w:eastAsia="맑은 고딕" w:hAnsi="Times" w:hint="eastAsia"/>
          <w:kern w:val="0"/>
        </w:rPr>
        <w:t xml:space="preserve">] </w:t>
      </w:r>
      <w:r w:rsidRPr="003D1BB6">
        <w:rPr>
          <w:rFonts w:ascii="Times" w:eastAsia="맑은 고딕" w:hAnsi="Times"/>
          <w:kern w:val="0"/>
        </w:rPr>
        <w:t>R1-164515</w:t>
      </w:r>
      <w:r>
        <w:rPr>
          <w:rFonts w:ascii="Times" w:eastAsia="맑은 고딕" w:hAnsi="Times" w:hint="eastAsia"/>
          <w:kern w:val="0"/>
        </w:rPr>
        <w:t xml:space="preserve">, </w:t>
      </w:r>
      <w:r>
        <w:rPr>
          <w:rFonts w:ascii="Times" w:eastAsia="맑은 고딕" w:hAnsi="Times"/>
          <w:kern w:val="0"/>
        </w:rPr>
        <w:t>“</w:t>
      </w:r>
      <w:r w:rsidRPr="003D1BB6">
        <w:rPr>
          <w:rFonts w:ascii="Times" w:eastAsia="맑은 고딕" w:hAnsi="Times"/>
          <w:kern w:val="0"/>
        </w:rPr>
        <w:t>Discussion on details of UE reporting</w:t>
      </w:r>
      <w:r>
        <w:rPr>
          <w:rFonts w:ascii="Times" w:eastAsia="맑은 고딕" w:hAnsi="Times" w:hint="eastAsia"/>
          <w:kern w:val="0"/>
        </w:rPr>
        <w:t>,</w:t>
      </w:r>
      <w:r>
        <w:rPr>
          <w:rFonts w:ascii="Times" w:eastAsia="맑은 고딕" w:hAnsi="Times"/>
          <w:kern w:val="0"/>
        </w:rPr>
        <w:t>”</w:t>
      </w:r>
      <w:r>
        <w:rPr>
          <w:rFonts w:ascii="Times" w:eastAsia="맑은 고딕" w:hAnsi="Times" w:hint="eastAsia"/>
          <w:kern w:val="0"/>
        </w:rPr>
        <w:t xml:space="preserve"> </w:t>
      </w:r>
      <w:r w:rsidRPr="003D1BB6">
        <w:rPr>
          <w:rFonts w:ascii="Times" w:eastAsia="맑은 고딕" w:hAnsi="Times"/>
          <w:kern w:val="0"/>
        </w:rPr>
        <w:t>LG Electronics</w:t>
      </w:r>
      <w:r>
        <w:rPr>
          <w:rFonts w:ascii="Times" w:eastAsia="맑은 고딕" w:hAnsi="Times" w:hint="eastAsia"/>
          <w:kern w:val="0"/>
        </w:rPr>
        <w:t>.</w:t>
      </w:r>
    </w:p>
    <w:sectPr w:rsidR="00D20102" w:rsidRPr="001918C6" w:rsidSect="007B1A4C">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7F9" w:rsidRDefault="006047F9">
      <w:r>
        <w:separator/>
      </w:r>
    </w:p>
  </w:endnote>
  <w:endnote w:type="continuationSeparator" w:id="0">
    <w:p w:rsidR="006047F9" w:rsidRDefault="0060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AB0" w:rsidRDefault="00C12A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12AB0" w:rsidRDefault="00C12A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AB0" w:rsidRDefault="00C12A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C25FB">
      <w:rPr>
        <w:rStyle w:val="a8"/>
        <w:noProof/>
      </w:rPr>
      <w:t>3</w:t>
    </w:r>
    <w:r>
      <w:rPr>
        <w:rStyle w:val="a8"/>
      </w:rPr>
      <w:fldChar w:fldCharType="end"/>
    </w:r>
  </w:p>
  <w:p w:rsidR="00C12AB0" w:rsidRDefault="00C12A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7F9" w:rsidRDefault="006047F9">
      <w:r>
        <w:separator/>
      </w:r>
    </w:p>
  </w:footnote>
  <w:footnote w:type="continuationSeparator" w:id="0">
    <w:p w:rsidR="006047F9" w:rsidRDefault="006047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7" type="#_x0000_t75" style="width:8.85pt;height:8.85pt" o:bullet="t">
        <v:imagedata r:id="rId1" o:title="art1695"/>
      </v:shape>
    </w:pict>
  </w:numPicBullet>
  <w:numPicBullet w:numPicBulletId="1">
    <w:pict>
      <v:shape id="_x0000_i1408" type="#_x0000_t75" style="width:8.85pt;height:8.85pt" o:bullet="t">
        <v:imagedata r:id="rId2" o:title="art1742"/>
      </v:shape>
    </w:pict>
  </w:numPicBullet>
  <w:abstractNum w:abstractNumId="0" w15:restartNumberingAfterBreak="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15EA643E"/>
    <w:multiLevelType w:val="hybridMultilevel"/>
    <w:tmpl w:val="C4AA393C"/>
    <w:lvl w:ilvl="0" w:tplc="24E02FB0">
      <w:start w:val="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5931817"/>
    <w:multiLevelType w:val="hybridMultilevel"/>
    <w:tmpl w:val="0E1EF5C0"/>
    <w:lvl w:ilvl="0" w:tplc="63563AEE">
      <w:start w:val="20"/>
      <w:numFmt w:val="bullet"/>
      <w:lvlText w:val=""/>
      <w:lvlJc w:val="left"/>
      <w:pPr>
        <w:ind w:left="720" w:hanging="360"/>
      </w:pPr>
      <w:rPr>
        <w:rFonts w:ascii="Wingdings" w:eastAsia="바탕"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2"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591D90"/>
    <w:multiLevelType w:val="hybridMultilevel"/>
    <w:tmpl w:val="8C924F9C"/>
    <w:lvl w:ilvl="0" w:tplc="15748B6E">
      <w:start w:val="4"/>
      <w:numFmt w:val="bullet"/>
      <w:lvlText w:val="-"/>
      <w:lvlJc w:val="left"/>
      <w:pPr>
        <w:ind w:left="1160" w:hanging="400"/>
      </w:pPr>
      <w:rPr>
        <w:rFonts w:ascii="Times New Roman" w:eastAsia="Times New Roman" w:hAnsi="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38530BE8"/>
    <w:multiLevelType w:val="hybridMultilevel"/>
    <w:tmpl w:val="C366C5AA"/>
    <w:lvl w:ilvl="0" w:tplc="86E47138">
      <w:start w:val="1"/>
      <w:numFmt w:val="decimal"/>
      <w:lvlText w:val="%1."/>
      <w:lvlJc w:val="left"/>
      <w:pPr>
        <w:ind w:left="760" w:hanging="360"/>
      </w:pPr>
      <w:rPr>
        <w:rFonts w:ascii="바탕" w:eastAsia="바탕" w:hAnsi="Times New Roman" w:cs="Times New Roman"/>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15:restartNumberingAfterBreak="0">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15:restartNumberingAfterBreak="0">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1" w15:restartNumberingAfterBreak="0">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15:restartNumberingAfterBreak="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5FE662E"/>
    <w:multiLevelType w:val="hybridMultilevel"/>
    <w:tmpl w:val="C36ECD46"/>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0"/>
  </w:num>
  <w:num w:numId="3">
    <w:abstractNumId w:val="22"/>
  </w:num>
  <w:num w:numId="4">
    <w:abstractNumId w:val="31"/>
  </w:num>
  <w:num w:numId="5">
    <w:abstractNumId w:val="33"/>
  </w:num>
  <w:num w:numId="6">
    <w:abstractNumId w:val="15"/>
  </w:num>
  <w:num w:numId="7">
    <w:abstractNumId w:val="0"/>
  </w:num>
  <w:num w:numId="8">
    <w:abstractNumId w:val="23"/>
  </w:num>
  <w:num w:numId="9">
    <w:abstractNumId w:val="30"/>
  </w:num>
  <w:num w:numId="10">
    <w:abstractNumId w:val="3"/>
  </w:num>
  <w:num w:numId="11">
    <w:abstractNumId w:val="32"/>
  </w:num>
  <w:num w:numId="12">
    <w:abstractNumId w:val="2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8"/>
  </w:num>
  <w:num w:numId="16">
    <w:abstractNumId w:val="29"/>
  </w:num>
  <w:num w:numId="17">
    <w:abstractNumId w:val="2"/>
  </w:num>
  <w:num w:numId="18">
    <w:abstractNumId w:val="8"/>
  </w:num>
  <w:num w:numId="19">
    <w:abstractNumId w:val="5"/>
  </w:num>
  <w:num w:numId="20">
    <w:abstractNumId w:val="25"/>
  </w:num>
  <w:num w:numId="21">
    <w:abstractNumId w:val="21"/>
  </w:num>
  <w:num w:numId="22">
    <w:abstractNumId w:val="9"/>
  </w:num>
  <w:num w:numId="23">
    <w:abstractNumId w:val="6"/>
  </w:num>
  <w:num w:numId="24">
    <w:abstractNumId w:val="19"/>
  </w:num>
  <w:num w:numId="25">
    <w:abstractNumId w:val="17"/>
  </w:num>
  <w:num w:numId="26">
    <w:abstractNumId w:val="1"/>
  </w:num>
  <w:num w:numId="27">
    <w:abstractNumId w:val="20"/>
  </w:num>
  <w:num w:numId="28">
    <w:abstractNumId w:val="24"/>
  </w:num>
  <w:num w:numId="29">
    <w:abstractNumId w:val="28"/>
  </w:num>
  <w:num w:numId="30">
    <w:abstractNumId w:val="11"/>
  </w:num>
  <w:num w:numId="31">
    <w:abstractNumId w:val="16"/>
  </w:num>
  <w:num w:numId="32">
    <w:abstractNumId w:val="7"/>
  </w:num>
  <w:num w:numId="33">
    <w:abstractNumId w:val="14"/>
  </w:num>
  <w:num w:numId="34">
    <w:abstractNumId w:val="13"/>
  </w:num>
  <w:num w:numId="3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474"/>
    <w:rsid w:val="00010F32"/>
    <w:rsid w:val="00011651"/>
    <w:rsid w:val="0001258E"/>
    <w:rsid w:val="00012850"/>
    <w:rsid w:val="00012E36"/>
    <w:rsid w:val="00012FDD"/>
    <w:rsid w:val="00013055"/>
    <w:rsid w:val="000131DA"/>
    <w:rsid w:val="0001361E"/>
    <w:rsid w:val="00013E41"/>
    <w:rsid w:val="0001478A"/>
    <w:rsid w:val="00015664"/>
    <w:rsid w:val="000158D1"/>
    <w:rsid w:val="00015FA8"/>
    <w:rsid w:val="00015FC7"/>
    <w:rsid w:val="0001612D"/>
    <w:rsid w:val="000163E3"/>
    <w:rsid w:val="00016B13"/>
    <w:rsid w:val="000171D8"/>
    <w:rsid w:val="000175E7"/>
    <w:rsid w:val="0001760F"/>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861"/>
    <w:rsid w:val="00054AEE"/>
    <w:rsid w:val="00054B86"/>
    <w:rsid w:val="0005629B"/>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7A9"/>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369"/>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3E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7DA"/>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6A1A"/>
    <w:rsid w:val="000F764B"/>
    <w:rsid w:val="000F7B1A"/>
    <w:rsid w:val="000F7B97"/>
    <w:rsid w:val="001004D7"/>
    <w:rsid w:val="00100591"/>
    <w:rsid w:val="001006E4"/>
    <w:rsid w:val="00101020"/>
    <w:rsid w:val="00101657"/>
    <w:rsid w:val="0010174B"/>
    <w:rsid w:val="00101CF6"/>
    <w:rsid w:val="001029DC"/>
    <w:rsid w:val="00102ADD"/>
    <w:rsid w:val="00102DB0"/>
    <w:rsid w:val="001033B6"/>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0EE6"/>
    <w:rsid w:val="0011172F"/>
    <w:rsid w:val="00111B88"/>
    <w:rsid w:val="00111DBD"/>
    <w:rsid w:val="0011254E"/>
    <w:rsid w:val="0011283D"/>
    <w:rsid w:val="00112A9C"/>
    <w:rsid w:val="00113492"/>
    <w:rsid w:val="00113FB8"/>
    <w:rsid w:val="0011456A"/>
    <w:rsid w:val="001145AF"/>
    <w:rsid w:val="00114B49"/>
    <w:rsid w:val="00114DE5"/>
    <w:rsid w:val="00115862"/>
    <w:rsid w:val="0011590B"/>
    <w:rsid w:val="00115D30"/>
    <w:rsid w:val="00116459"/>
    <w:rsid w:val="00116905"/>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41F"/>
    <w:rsid w:val="00136BCA"/>
    <w:rsid w:val="00136D66"/>
    <w:rsid w:val="00137D00"/>
    <w:rsid w:val="00140030"/>
    <w:rsid w:val="001401AD"/>
    <w:rsid w:val="001401F9"/>
    <w:rsid w:val="001407FC"/>
    <w:rsid w:val="001412E3"/>
    <w:rsid w:val="00141860"/>
    <w:rsid w:val="00141DBB"/>
    <w:rsid w:val="00142026"/>
    <w:rsid w:val="001423B6"/>
    <w:rsid w:val="00142C3F"/>
    <w:rsid w:val="00143CB6"/>
    <w:rsid w:val="001442B3"/>
    <w:rsid w:val="0014494E"/>
    <w:rsid w:val="00144B46"/>
    <w:rsid w:val="00144CA9"/>
    <w:rsid w:val="00144F3A"/>
    <w:rsid w:val="00145093"/>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1F53"/>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8C6"/>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B11"/>
    <w:rsid w:val="001A635A"/>
    <w:rsid w:val="001A63FF"/>
    <w:rsid w:val="001A68B4"/>
    <w:rsid w:val="001A7042"/>
    <w:rsid w:val="001A715A"/>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842"/>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36B"/>
    <w:rsid w:val="0020060A"/>
    <w:rsid w:val="002012B1"/>
    <w:rsid w:val="00201ECD"/>
    <w:rsid w:val="00201FE1"/>
    <w:rsid w:val="002020D2"/>
    <w:rsid w:val="002021BE"/>
    <w:rsid w:val="00202844"/>
    <w:rsid w:val="00202D7F"/>
    <w:rsid w:val="002030F6"/>
    <w:rsid w:val="00203F51"/>
    <w:rsid w:val="002043C3"/>
    <w:rsid w:val="002050B7"/>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2F1F"/>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1B6"/>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408"/>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4C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765"/>
    <w:rsid w:val="003678A5"/>
    <w:rsid w:val="00367CBA"/>
    <w:rsid w:val="00367FF5"/>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133"/>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993"/>
    <w:rsid w:val="00406E6A"/>
    <w:rsid w:val="0040725B"/>
    <w:rsid w:val="00407469"/>
    <w:rsid w:val="00407AD2"/>
    <w:rsid w:val="00407E80"/>
    <w:rsid w:val="004100F0"/>
    <w:rsid w:val="00410553"/>
    <w:rsid w:val="004106D2"/>
    <w:rsid w:val="0041156A"/>
    <w:rsid w:val="00411B75"/>
    <w:rsid w:val="00411FFB"/>
    <w:rsid w:val="00412636"/>
    <w:rsid w:val="00412E20"/>
    <w:rsid w:val="00413476"/>
    <w:rsid w:val="004138E7"/>
    <w:rsid w:val="004142D6"/>
    <w:rsid w:val="004149FF"/>
    <w:rsid w:val="00414E15"/>
    <w:rsid w:val="00415245"/>
    <w:rsid w:val="00415B26"/>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8F9"/>
    <w:rsid w:val="00422989"/>
    <w:rsid w:val="004229F5"/>
    <w:rsid w:val="00422B0D"/>
    <w:rsid w:val="00423B26"/>
    <w:rsid w:val="00423DCE"/>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1E0"/>
    <w:rsid w:val="0046029C"/>
    <w:rsid w:val="0046047F"/>
    <w:rsid w:val="0046281B"/>
    <w:rsid w:val="00462C37"/>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1FA7"/>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25FB"/>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0E7C"/>
    <w:rsid w:val="004E1019"/>
    <w:rsid w:val="004E118B"/>
    <w:rsid w:val="004E1BEA"/>
    <w:rsid w:val="004E22C1"/>
    <w:rsid w:val="004E4491"/>
    <w:rsid w:val="004E4AC7"/>
    <w:rsid w:val="004E4F7E"/>
    <w:rsid w:val="004E52CB"/>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1C39"/>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9B1"/>
    <w:rsid w:val="00526D7B"/>
    <w:rsid w:val="005279A5"/>
    <w:rsid w:val="00527E81"/>
    <w:rsid w:val="00530235"/>
    <w:rsid w:val="005304CB"/>
    <w:rsid w:val="00530CDF"/>
    <w:rsid w:val="00530D1E"/>
    <w:rsid w:val="00530DE7"/>
    <w:rsid w:val="00530E24"/>
    <w:rsid w:val="005311BD"/>
    <w:rsid w:val="00531B4F"/>
    <w:rsid w:val="00531B91"/>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2FA2"/>
    <w:rsid w:val="00544B30"/>
    <w:rsid w:val="00544EFC"/>
    <w:rsid w:val="005455EC"/>
    <w:rsid w:val="005456F2"/>
    <w:rsid w:val="00545FB0"/>
    <w:rsid w:val="005464D1"/>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E0E"/>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BDC"/>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47F9"/>
    <w:rsid w:val="00604BA7"/>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CC1"/>
    <w:rsid w:val="00627DB2"/>
    <w:rsid w:val="00630116"/>
    <w:rsid w:val="00630144"/>
    <w:rsid w:val="006304B7"/>
    <w:rsid w:val="0063052B"/>
    <w:rsid w:val="00630812"/>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932"/>
    <w:rsid w:val="00664064"/>
    <w:rsid w:val="00664257"/>
    <w:rsid w:val="0066462F"/>
    <w:rsid w:val="006646D8"/>
    <w:rsid w:val="0066537E"/>
    <w:rsid w:val="006656CF"/>
    <w:rsid w:val="0066571C"/>
    <w:rsid w:val="00665819"/>
    <w:rsid w:val="0066588F"/>
    <w:rsid w:val="006659A0"/>
    <w:rsid w:val="00665BAA"/>
    <w:rsid w:val="00665DD5"/>
    <w:rsid w:val="00667801"/>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6DA7"/>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905"/>
    <w:rsid w:val="006B1C45"/>
    <w:rsid w:val="006B1FCC"/>
    <w:rsid w:val="006B2177"/>
    <w:rsid w:val="006B257B"/>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5A3D"/>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527"/>
    <w:rsid w:val="0070661A"/>
    <w:rsid w:val="00706974"/>
    <w:rsid w:val="007074BF"/>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2C"/>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1E"/>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063"/>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5A1"/>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433"/>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A4C"/>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2F9"/>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814"/>
    <w:rsid w:val="007F0E53"/>
    <w:rsid w:val="007F1056"/>
    <w:rsid w:val="007F1BA2"/>
    <w:rsid w:val="007F2A5F"/>
    <w:rsid w:val="007F2EC7"/>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237"/>
    <w:rsid w:val="0083755D"/>
    <w:rsid w:val="00837868"/>
    <w:rsid w:val="008379C0"/>
    <w:rsid w:val="00837B43"/>
    <w:rsid w:val="00837C99"/>
    <w:rsid w:val="00840D92"/>
    <w:rsid w:val="00841A7C"/>
    <w:rsid w:val="008423F3"/>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491"/>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854"/>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B7F"/>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758"/>
    <w:rsid w:val="008E4B7C"/>
    <w:rsid w:val="008E5747"/>
    <w:rsid w:val="008E5BF8"/>
    <w:rsid w:val="008E5DFC"/>
    <w:rsid w:val="008E607E"/>
    <w:rsid w:val="008E65CB"/>
    <w:rsid w:val="008E6851"/>
    <w:rsid w:val="008E71EE"/>
    <w:rsid w:val="008F0134"/>
    <w:rsid w:val="008F01FE"/>
    <w:rsid w:val="008F055F"/>
    <w:rsid w:val="008F079A"/>
    <w:rsid w:val="008F0884"/>
    <w:rsid w:val="008F0BF2"/>
    <w:rsid w:val="008F0F6A"/>
    <w:rsid w:val="008F1581"/>
    <w:rsid w:val="008F1897"/>
    <w:rsid w:val="008F2E56"/>
    <w:rsid w:val="008F31D9"/>
    <w:rsid w:val="008F3300"/>
    <w:rsid w:val="008F3935"/>
    <w:rsid w:val="008F3BC0"/>
    <w:rsid w:val="008F4E61"/>
    <w:rsid w:val="008F5EC0"/>
    <w:rsid w:val="008F6662"/>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3FC4"/>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634"/>
    <w:rsid w:val="00975944"/>
    <w:rsid w:val="00975CB1"/>
    <w:rsid w:val="00975FA1"/>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8FB"/>
    <w:rsid w:val="00984D52"/>
    <w:rsid w:val="009851A8"/>
    <w:rsid w:val="009854F3"/>
    <w:rsid w:val="009858B4"/>
    <w:rsid w:val="0098621E"/>
    <w:rsid w:val="00986981"/>
    <w:rsid w:val="00987778"/>
    <w:rsid w:val="0098790E"/>
    <w:rsid w:val="00987AE0"/>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8DF"/>
    <w:rsid w:val="009B4D7D"/>
    <w:rsid w:val="009B52C6"/>
    <w:rsid w:val="009B5507"/>
    <w:rsid w:val="009B6D5E"/>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1FD"/>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1E3"/>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557"/>
    <w:rsid w:val="00A401C7"/>
    <w:rsid w:val="00A40237"/>
    <w:rsid w:val="00A41C1E"/>
    <w:rsid w:val="00A43505"/>
    <w:rsid w:val="00A44A29"/>
    <w:rsid w:val="00A4570A"/>
    <w:rsid w:val="00A46198"/>
    <w:rsid w:val="00A4686C"/>
    <w:rsid w:val="00A470A9"/>
    <w:rsid w:val="00A47565"/>
    <w:rsid w:val="00A47E36"/>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085"/>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6E0"/>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4E3"/>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788"/>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2600"/>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17D"/>
    <w:rsid w:val="00BA452D"/>
    <w:rsid w:val="00BA497C"/>
    <w:rsid w:val="00BA52F8"/>
    <w:rsid w:val="00BA65B0"/>
    <w:rsid w:val="00BA6C18"/>
    <w:rsid w:val="00BA759B"/>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C6F"/>
    <w:rsid w:val="00BC0D8B"/>
    <w:rsid w:val="00BC116C"/>
    <w:rsid w:val="00BC1218"/>
    <w:rsid w:val="00BC12EC"/>
    <w:rsid w:val="00BC1412"/>
    <w:rsid w:val="00BC161A"/>
    <w:rsid w:val="00BC1953"/>
    <w:rsid w:val="00BC36EB"/>
    <w:rsid w:val="00BC3D84"/>
    <w:rsid w:val="00BC3FF2"/>
    <w:rsid w:val="00BC401A"/>
    <w:rsid w:val="00BC427D"/>
    <w:rsid w:val="00BC429A"/>
    <w:rsid w:val="00BC5064"/>
    <w:rsid w:val="00BC53FB"/>
    <w:rsid w:val="00BC5891"/>
    <w:rsid w:val="00BC5DD6"/>
    <w:rsid w:val="00BC5E6B"/>
    <w:rsid w:val="00BC61FD"/>
    <w:rsid w:val="00BC6284"/>
    <w:rsid w:val="00BC651A"/>
    <w:rsid w:val="00BC6583"/>
    <w:rsid w:val="00BC6E34"/>
    <w:rsid w:val="00BC6F4A"/>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73F"/>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4FC"/>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6A2"/>
    <w:rsid w:val="00C04DC7"/>
    <w:rsid w:val="00C04E14"/>
    <w:rsid w:val="00C05CE3"/>
    <w:rsid w:val="00C063A5"/>
    <w:rsid w:val="00C0643F"/>
    <w:rsid w:val="00C06E50"/>
    <w:rsid w:val="00C075FE"/>
    <w:rsid w:val="00C07DAE"/>
    <w:rsid w:val="00C10DA9"/>
    <w:rsid w:val="00C11D7B"/>
    <w:rsid w:val="00C123BF"/>
    <w:rsid w:val="00C12988"/>
    <w:rsid w:val="00C12AB0"/>
    <w:rsid w:val="00C12B44"/>
    <w:rsid w:val="00C13226"/>
    <w:rsid w:val="00C132EC"/>
    <w:rsid w:val="00C14316"/>
    <w:rsid w:val="00C146E5"/>
    <w:rsid w:val="00C1530A"/>
    <w:rsid w:val="00C15406"/>
    <w:rsid w:val="00C160FB"/>
    <w:rsid w:val="00C170A3"/>
    <w:rsid w:val="00C17162"/>
    <w:rsid w:val="00C17AA1"/>
    <w:rsid w:val="00C17B7E"/>
    <w:rsid w:val="00C208A1"/>
    <w:rsid w:val="00C20B4D"/>
    <w:rsid w:val="00C20DE8"/>
    <w:rsid w:val="00C20F0F"/>
    <w:rsid w:val="00C20F82"/>
    <w:rsid w:val="00C21BA4"/>
    <w:rsid w:val="00C225DC"/>
    <w:rsid w:val="00C227CB"/>
    <w:rsid w:val="00C23B7F"/>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27DA0"/>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6A4"/>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BC7"/>
    <w:rsid w:val="00CA0C3E"/>
    <w:rsid w:val="00CA13E0"/>
    <w:rsid w:val="00CA178B"/>
    <w:rsid w:val="00CA1A50"/>
    <w:rsid w:val="00CA1AEA"/>
    <w:rsid w:val="00CA1D02"/>
    <w:rsid w:val="00CA2425"/>
    <w:rsid w:val="00CA2EB3"/>
    <w:rsid w:val="00CA3306"/>
    <w:rsid w:val="00CA3ACA"/>
    <w:rsid w:val="00CA4158"/>
    <w:rsid w:val="00CA467B"/>
    <w:rsid w:val="00CA49DA"/>
    <w:rsid w:val="00CA49E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0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BF0"/>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50B"/>
    <w:rsid w:val="00D166A8"/>
    <w:rsid w:val="00D16862"/>
    <w:rsid w:val="00D16C33"/>
    <w:rsid w:val="00D16D51"/>
    <w:rsid w:val="00D171D6"/>
    <w:rsid w:val="00D1770A"/>
    <w:rsid w:val="00D17720"/>
    <w:rsid w:val="00D20102"/>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6FB"/>
    <w:rsid w:val="00D80E7E"/>
    <w:rsid w:val="00D81153"/>
    <w:rsid w:val="00D8130D"/>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066F"/>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DF7DF0"/>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F12"/>
    <w:rsid w:val="00E21CC6"/>
    <w:rsid w:val="00E22B10"/>
    <w:rsid w:val="00E24391"/>
    <w:rsid w:val="00E2497D"/>
    <w:rsid w:val="00E25640"/>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D76"/>
    <w:rsid w:val="00E32E26"/>
    <w:rsid w:val="00E32EC6"/>
    <w:rsid w:val="00E33003"/>
    <w:rsid w:val="00E3425C"/>
    <w:rsid w:val="00E34486"/>
    <w:rsid w:val="00E348BD"/>
    <w:rsid w:val="00E350D9"/>
    <w:rsid w:val="00E35617"/>
    <w:rsid w:val="00E357D1"/>
    <w:rsid w:val="00E35E76"/>
    <w:rsid w:val="00E366FF"/>
    <w:rsid w:val="00E36704"/>
    <w:rsid w:val="00E36846"/>
    <w:rsid w:val="00E36BC2"/>
    <w:rsid w:val="00E36CAE"/>
    <w:rsid w:val="00E36F52"/>
    <w:rsid w:val="00E375F2"/>
    <w:rsid w:val="00E4078D"/>
    <w:rsid w:val="00E40981"/>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D28"/>
    <w:rsid w:val="00E73F74"/>
    <w:rsid w:val="00E75091"/>
    <w:rsid w:val="00E75D02"/>
    <w:rsid w:val="00E76958"/>
    <w:rsid w:val="00E7763B"/>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C7B7F"/>
    <w:rsid w:val="00ED00FD"/>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311"/>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1D9"/>
    <w:rsid w:val="00F35740"/>
    <w:rsid w:val="00F3579D"/>
    <w:rsid w:val="00F357B0"/>
    <w:rsid w:val="00F36BDF"/>
    <w:rsid w:val="00F36C03"/>
    <w:rsid w:val="00F37614"/>
    <w:rsid w:val="00F37D59"/>
    <w:rsid w:val="00F40BE0"/>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5C2B"/>
    <w:rsid w:val="00F66001"/>
    <w:rsid w:val="00F67698"/>
    <w:rsid w:val="00F67B05"/>
    <w:rsid w:val="00F7003D"/>
    <w:rsid w:val="00F70306"/>
    <w:rsid w:val="00F70B24"/>
    <w:rsid w:val="00F70D0B"/>
    <w:rsid w:val="00F717E0"/>
    <w:rsid w:val="00F7193A"/>
    <w:rsid w:val="00F71A1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1DE8"/>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9773B"/>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343"/>
    <w:rsid w:val="00FC7471"/>
    <w:rsid w:val="00FC7E87"/>
    <w:rsid w:val="00FD015D"/>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D87A46-8960-48C0-8EEB-8AD5A9DC2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HE">
    <w:name w:val="HE"/>
    <w:basedOn w:val="a0"/>
    <w:rsid w:val="00BA759B"/>
    <w:pPr>
      <w:widowControl/>
      <w:numPr>
        <w:numId w:val="31"/>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B1">
    <w:name w:val="B1"/>
    <w:basedOn w:val="af6"/>
    <w:link w:val="B1Zchn"/>
    <w:rsid w:val="00110EE6"/>
    <w:pPr>
      <w:widowControl/>
      <w:wordWrap/>
      <w:autoSpaceDE/>
      <w:autoSpaceDN/>
      <w:spacing w:after="180"/>
      <w:ind w:leftChars="0" w:left="568" w:firstLineChars="0" w:hanging="284"/>
      <w:contextualSpacing w:val="0"/>
      <w:jc w:val="left"/>
    </w:pPr>
    <w:rPr>
      <w:rFonts w:ascii="Times New Roman" w:eastAsia="MS Mincho"/>
      <w:kern w:val="0"/>
      <w:szCs w:val="20"/>
      <w:lang w:val="en-GB" w:eastAsia="en-US"/>
    </w:rPr>
  </w:style>
  <w:style w:type="character" w:customStyle="1" w:styleId="B1Zchn">
    <w:name w:val="B1 Zchn"/>
    <w:link w:val="B1"/>
    <w:rsid w:val="00110EE6"/>
    <w:rPr>
      <w:rFonts w:eastAsia="MS Mincho"/>
      <w:lang w:val="en-GB" w:eastAsia="en-US"/>
    </w:rPr>
  </w:style>
  <w:style w:type="paragraph" w:styleId="af6">
    <w:name w:val="List"/>
    <w:basedOn w:val="a0"/>
    <w:semiHidden/>
    <w:unhideWhenUsed/>
    <w:rsid w:val="00110EE6"/>
    <w:pPr>
      <w:ind w:leftChars="200" w:left="100" w:hangingChars="200" w:hanging="200"/>
      <w:contextualSpacing/>
    </w:pPr>
  </w:style>
  <w:style w:type="paragraph" w:customStyle="1" w:styleId="Reference">
    <w:name w:val="Reference"/>
    <w:basedOn w:val="a0"/>
    <w:rsid w:val="00667801"/>
    <w:pPr>
      <w:keepLines/>
      <w:widowControl/>
      <w:numPr>
        <w:numId w:val="35"/>
      </w:numPr>
      <w:wordWrap/>
      <w:overflowPunct w:val="0"/>
      <w:adjustRightInd w:val="0"/>
      <w:spacing w:after="180"/>
      <w:jc w:val="left"/>
      <w:textAlignment w:val="baseline"/>
    </w:pPr>
    <w:rPr>
      <w:rFonts w:ascii="Times New Roman" w:eastAsia="Times New Roman"/>
      <w:kern w:val="0"/>
      <w:szCs w:val="20"/>
      <w:lang w:val="en-GB" w:eastAsia="en-GB"/>
    </w:rPr>
  </w:style>
  <w:style w:type="character" w:customStyle="1" w:styleId="TACChar">
    <w:name w:val="TAC Char"/>
    <w:link w:val="TAC"/>
    <w:locked/>
    <w:rsid w:val="00667801"/>
    <w:rPr>
      <w:rFonts w:ascii="Arial" w:eastAsia="MS Mincho" w:hAnsi="Arial"/>
      <w:sz w:val="18"/>
      <w:lang w:val="en-GB" w:eastAsia="en-US"/>
    </w:rPr>
  </w:style>
  <w:style w:type="character" w:customStyle="1" w:styleId="TAHCar">
    <w:name w:val="TAH Car"/>
    <w:link w:val="TAH"/>
    <w:rsid w:val="00667801"/>
    <w:rPr>
      <w:rFonts w:ascii="Arial" w:eastAsia="MS Mincho" w:hAnsi="Arial"/>
      <w:b/>
      <w:sz w:val="18"/>
      <w:lang w:val="en-GB" w:eastAsia="en-US"/>
    </w:rPr>
  </w:style>
  <w:style w:type="character" w:customStyle="1" w:styleId="TALChar">
    <w:name w:val="TAL Char"/>
    <w:locked/>
    <w:rsid w:val="0066780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70226-E1AA-4C9E-8575-60813DD3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1470</Words>
  <Characters>8384</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9835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김명섭/선임연구원〉차세대표준(연)ACS팀(myoungseob81.kim@lge.com)</cp:lastModifiedBy>
  <cp:revision>2</cp:revision>
  <cp:lastPrinted>2014-01-26T05:26:00Z</cp:lastPrinted>
  <dcterms:created xsi:type="dcterms:W3CDTF">2016-08-13T01:49:00Z</dcterms:created>
  <dcterms:modified xsi:type="dcterms:W3CDTF">2016-08-13T01:49:00Z</dcterms:modified>
</cp:coreProperties>
</file>